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C45" w:rsidRDefault="00303B66">
      <w:pPr>
        <w:rPr>
          <w:b/>
          <w:sz w:val="22"/>
          <w:szCs w:val="22"/>
        </w:rPr>
      </w:pPr>
      <w:r>
        <w:rPr>
          <w:b/>
          <w:noProof/>
          <w:sz w:val="22"/>
          <w:szCs w:val="22"/>
        </w:rPr>
        <w:drawing>
          <wp:anchor distT="0" distB="0" distL="133350" distR="114300" simplePos="0" relativeHeight="2" behindDoc="1" locked="0" layoutInCell="1" allowOverlap="1">
            <wp:simplePos x="0" y="0"/>
            <wp:positionH relativeFrom="column">
              <wp:posOffset>-102870</wp:posOffset>
            </wp:positionH>
            <wp:positionV relativeFrom="paragraph">
              <wp:posOffset>34925</wp:posOffset>
            </wp:positionV>
            <wp:extent cx="685800" cy="715010"/>
            <wp:effectExtent l="0" t="0" r="0" b="0"/>
            <wp:wrapSquare wrapText="bothSides"/>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8"/>
                    <a:stretch>
                      <a:fillRect/>
                    </a:stretch>
                  </pic:blipFill>
                  <pic:spPr bwMode="auto">
                    <a:xfrm>
                      <a:off x="0" y="0"/>
                      <a:ext cx="685800" cy="715010"/>
                    </a:xfrm>
                    <a:prstGeom prst="rect">
                      <a:avLst/>
                    </a:prstGeom>
                  </pic:spPr>
                </pic:pic>
              </a:graphicData>
            </a:graphic>
          </wp:anchor>
        </w:drawing>
      </w:r>
      <w:r>
        <w:rPr>
          <w:b/>
          <w:noProof/>
          <w:sz w:val="22"/>
          <w:szCs w:val="22"/>
        </w:rPr>
        <w:drawing>
          <wp:anchor distT="0" distB="0" distL="114300" distR="0" simplePos="0" relativeHeight="5" behindDoc="0" locked="0" layoutInCell="1" allowOverlap="1">
            <wp:simplePos x="0" y="0"/>
            <wp:positionH relativeFrom="column">
              <wp:posOffset>4196080</wp:posOffset>
            </wp:positionH>
            <wp:positionV relativeFrom="paragraph">
              <wp:posOffset>62230</wp:posOffset>
            </wp:positionV>
            <wp:extent cx="1489075" cy="534035"/>
            <wp:effectExtent l="0" t="0" r="0" b="0"/>
            <wp:wrapNone/>
            <wp:docPr id="2" name="Figura7" descr="Logomarca atualizada do Campus Avançado Vi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7" descr="Logomarca atualizada do Campus Avançado Vigia"/>
                    <pic:cNvPicPr>
                      <a:picLocks noChangeAspect="1" noChangeArrowheads="1"/>
                    </pic:cNvPicPr>
                  </pic:nvPicPr>
                  <pic:blipFill>
                    <a:blip r:embed="rId9"/>
                    <a:stretch>
                      <a:fillRect/>
                    </a:stretch>
                  </pic:blipFill>
                  <pic:spPr bwMode="auto">
                    <a:xfrm>
                      <a:off x="0" y="0"/>
                      <a:ext cx="1489075" cy="534035"/>
                    </a:xfrm>
                    <a:prstGeom prst="rect">
                      <a:avLst/>
                    </a:prstGeom>
                  </pic:spPr>
                </pic:pic>
              </a:graphicData>
            </a:graphic>
          </wp:anchor>
        </w:drawing>
      </w:r>
    </w:p>
    <w:p w:rsidR="00762C45" w:rsidRDefault="00762C45">
      <w:pPr>
        <w:jc w:val="center"/>
        <w:rPr>
          <w:b/>
          <w:sz w:val="22"/>
          <w:szCs w:val="22"/>
        </w:rPr>
      </w:pPr>
    </w:p>
    <w:p w:rsidR="00762C45" w:rsidRDefault="00762C45">
      <w:pPr>
        <w:jc w:val="center"/>
        <w:rPr>
          <w:b/>
          <w:sz w:val="22"/>
          <w:szCs w:val="22"/>
        </w:rPr>
      </w:pPr>
    </w:p>
    <w:p w:rsidR="00762C45" w:rsidRDefault="00762C45">
      <w:pPr>
        <w:jc w:val="center"/>
        <w:rPr>
          <w:b/>
          <w:sz w:val="22"/>
          <w:szCs w:val="22"/>
        </w:rPr>
      </w:pPr>
    </w:p>
    <w:p w:rsidR="00762C45" w:rsidRDefault="00762C45">
      <w:pPr>
        <w:jc w:val="center"/>
        <w:rPr>
          <w:b/>
          <w:sz w:val="22"/>
          <w:szCs w:val="22"/>
        </w:rPr>
      </w:pPr>
    </w:p>
    <w:p w:rsidR="00762C45" w:rsidRDefault="00303B66">
      <w:pPr>
        <w:jc w:val="center"/>
        <w:rPr>
          <w:b/>
          <w:sz w:val="22"/>
          <w:szCs w:val="22"/>
        </w:rPr>
      </w:pPr>
      <w:r>
        <w:rPr>
          <w:b/>
          <w:sz w:val="22"/>
          <w:szCs w:val="22"/>
        </w:rPr>
        <w:t>MINISTÉRIO DA EDUCAÇÃO</w:t>
      </w:r>
    </w:p>
    <w:p w:rsidR="00762C45" w:rsidRDefault="00303B66">
      <w:pPr>
        <w:jc w:val="center"/>
        <w:rPr>
          <w:b/>
          <w:sz w:val="22"/>
          <w:szCs w:val="22"/>
        </w:rPr>
      </w:pPr>
      <w:r>
        <w:rPr>
          <w:b/>
          <w:sz w:val="22"/>
          <w:szCs w:val="22"/>
        </w:rPr>
        <w:t>SECRETARIA DE EDUCAÇÃO PROFISSIONAL E TECNOLÓGICA</w:t>
      </w:r>
    </w:p>
    <w:p w:rsidR="00762C45" w:rsidRDefault="00303B66">
      <w:pPr>
        <w:jc w:val="center"/>
        <w:rPr>
          <w:b/>
          <w:sz w:val="22"/>
          <w:szCs w:val="22"/>
        </w:rPr>
      </w:pPr>
      <w:r>
        <w:rPr>
          <w:b/>
          <w:sz w:val="22"/>
          <w:szCs w:val="22"/>
        </w:rPr>
        <w:t>INSTITUTO FEDERAL DE EDUCAÇÃO, CIÊNCIA E TECNOLOGIA DO PARÁ</w:t>
      </w:r>
    </w:p>
    <w:p w:rsidR="00762C45" w:rsidRDefault="00303B66">
      <w:pPr>
        <w:jc w:val="center"/>
        <w:rPr>
          <w:sz w:val="22"/>
          <w:szCs w:val="22"/>
        </w:rPr>
      </w:pPr>
      <w:r>
        <w:rPr>
          <w:b/>
          <w:sz w:val="22"/>
          <w:szCs w:val="22"/>
        </w:rPr>
        <w:t>CAMPUS AVANÇADO VIGIA</w:t>
      </w: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rPr>
          <w:sz w:val="22"/>
          <w:szCs w:val="22"/>
        </w:rPr>
      </w:pPr>
    </w:p>
    <w:p w:rsidR="00762C45" w:rsidRDefault="00762C45">
      <w:pPr>
        <w:shd w:val="clear" w:color="auto" w:fill="92D050"/>
        <w:rPr>
          <w:sz w:val="22"/>
          <w:szCs w:val="22"/>
        </w:rPr>
      </w:pPr>
    </w:p>
    <w:p w:rsidR="00762C45" w:rsidRDefault="00762C45">
      <w:pPr>
        <w:shd w:val="clear" w:color="auto" w:fill="FF6600"/>
        <w:jc w:val="center"/>
        <w:rPr>
          <w:b/>
          <w:sz w:val="22"/>
          <w:szCs w:val="22"/>
        </w:rPr>
      </w:pPr>
    </w:p>
    <w:p w:rsidR="00762C45" w:rsidRDefault="00303B66">
      <w:pPr>
        <w:shd w:val="clear" w:color="auto" w:fill="FF6600"/>
        <w:jc w:val="center"/>
        <w:rPr>
          <w:b/>
          <w:color w:val="000000"/>
          <w:sz w:val="28"/>
          <w:szCs w:val="28"/>
        </w:rPr>
      </w:pPr>
      <w:r>
        <w:rPr>
          <w:b/>
          <w:color w:val="000000"/>
          <w:sz w:val="28"/>
          <w:szCs w:val="28"/>
        </w:rPr>
        <w:t xml:space="preserve">PLANO DE DESENVOLVIMENTO DO </w:t>
      </w:r>
      <w:r>
        <w:rPr>
          <w:b/>
          <w:i/>
          <w:color w:val="000000"/>
          <w:sz w:val="28"/>
          <w:szCs w:val="28"/>
        </w:rPr>
        <w:t>CAMPUS</w:t>
      </w:r>
      <w:r>
        <w:rPr>
          <w:b/>
          <w:color w:val="000000"/>
          <w:sz w:val="28"/>
          <w:szCs w:val="28"/>
        </w:rPr>
        <w:t xml:space="preserve"> AVANÇADO VIGIA</w:t>
      </w:r>
    </w:p>
    <w:p w:rsidR="00762C45" w:rsidRDefault="00303B66">
      <w:pPr>
        <w:shd w:val="clear" w:color="auto" w:fill="FF6600"/>
        <w:jc w:val="center"/>
        <w:rPr>
          <w:b/>
          <w:color w:val="000000"/>
          <w:sz w:val="28"/>
          <w:szCs w:val="28"/>
        </w:rPr>
      </w:pPr>
      <w:r>
        <w:rPr>
          <w:b/>
          <w:color w:val="000000"/>
          <w:sz w:val="28"/>
          <w:szCs w:val="28"/>
        </w:rPr>
        <w:t>PARA O TRIÊNIO 2016-2018</w:t>
      </w:r>
    </w:p>
    <w:p w:rsidR="00762C45" w:rsidRDefault="00762C45">
      <w:pPr>
        <w:shd w:val="clear" w:color="auto" w:fill="FF6600"/>
        <w:jc w:val="center"/>
        <w:rPr>
          <w:b/>
          <w:sz w:val="22"/>
          <w:szCs w:val="22"/>
        </w:rPr>
      </w:pPr>
    </w:p>
    <w:p w:rsidR="00762C45" w:rsidRDefault="00762C45">
      <w:pPr>
        <w:jc w:val="center"/>
        <w:rPr>
          <w:sz w:val="22"/>
          <w:szCs w:val="22"/>
        </w:rPr>
      </w:pPr>
    </w:p>
    <w:p w:rsidR="00762C45" w:rsidRDefault="00762C45">
      <w:pPr>
        <w:spacing w:line="276" w:lineRule="auto"/>
        <w:jc w:val="both"/>
        <w:rPr>
          <w:color w:val="000000"/>
        </w:rPr>
      </w:pPr>
    </w:p>
    <w:p w:rsidR="00762C45" w:rsidRDefault="00762C45">
      <w:pPr>
        <w:spacing w:line="276" w:lineRule="auto"/>
        <w:jc w:val="both"/>
        <w:rPr>
          <w:color w:val="000000"/>
        </w:rPr>
      </w:pPr>
    </w:p>
    <w:p w:rsidR="00762C45" w:rsidRDefault="00762C45">
      <w:pPr>
        <w:spacing w:line="276" w:lineRule="auto"/>
        <w:jc w:val="both"/>
        <w:rPr>
          <w:b/>
          <w:bCs/>
          <w:color w:val="000000"/>
        </w:rPr>
      </w:pPr>
    </w:p>
    <w:p w:rsidR="00762C45" w:rsidRDefault="00762C45">
      <w:pPr>
        <w:spacing w:line="276" w:lineRule="auto"/>
        <w:jc w:val="both"/>
        <w:rPr>
          <w:b/>
          <w:bCs/>
          <w:color w:val="000000"/>
        </w:rPr>
      </w:pPr>
    </w:p>
    <w:p w:rsidR="00762C45" w:rsidRDefault="00762C45">
      <w:pPr>
        <w:tabs>
          <w:tab w:val="left" w:pos="1440"/>
        </w:tabs>
        <w:spacing w:line="276" w:lineRule="auto"/>
        <w:jc w:val="center"/>
        <w:rPr>
          <w:b/>
          <w:bCs/>
          <w:color w:val="000000"/>
        </w:rPr>
      </w:pPr>
    </w:p>
    <w:p w:rsidR="00762C45" w:rsidRDefault="00762C45">
      <w:pPr>
        <w:tabs>
          <w:tab w:val="left" w:pos="1440"/>
        </w:tabs>
        <w:spacing w:line="276" w:lineRule="auto"/>
        <w:jc w:val="center"/>
        <w:rPr>
          <w:b/>
          <w:bCs/>
          <w:color w:val="000000"/>
        </w:rPr>
      </w:pPr>
    </w:p>
    <w:p w:rsidR="00762C45" w:rsidRDefault="00762C45">
      <w:pPr>
        <w:spacing w:line="276" w:lineRule="auto"/>
        <w:jc w:val="both"/>
        <w:rPr>
          <w:b/>
          <w:bCs/>
          <w:color w:val="000000"/>
        </w:rPr>
      </w:pPr>
    </w:p>
    <w:p w:rsidR="00762C45" w:rsidRDefault="00762C45">
      <w:pPr>
        <w:spacing w:line="276" w:lineRule="auto"/>
        <w:jc w:val="center"/>
        <w:rPr>
          <w:b/>
          <w:bCs/>
          <w:color w:val="000000"/>
          <w:sz w:val="72"/>
          <w:szCs w:val="72"/>
        </w:rPr>
      </w:pPr>
    </w:p>
    <w:p w:rsidR="00762C45" w:rsidRDefault="00762C45">
      <w:pPr>
        <w:spacing w:line="276" w:lineRule="auto"/>
        <w:jc w:val="center"/>
        <w:rPr>
          <w:b/>
          <w:bCs/>
          <w:color w:val="000000"/>
          <w:sz w:val="22"/>
          <w:szCs w:val="22"/>
        </w:rPr>
      </w:pPr>
    </w:p>
    <w:p w:rsidR="00762C45" w:rsidRDefault="00762C45">
      <w:pPr>
        <w:spacing w:line="276" w:lineRule="auto"/>
        <w:jc w:val="center"/>
        <w:rPr>
          <w:b/>
          <w:bCs/>
          <w:color w:val="000000"/>
          <w:sz w:val="22"/>
          <w:szCs w:val="22"/>
        </w:rPr>
      </w:pPr>
    </w:p>
    <w:p w:rsidR="00762C45" w:rsidRDefault="00762C45">
      <w:pPr>
        <w:spacing w:line="276" w:lineRule="auto"/>
        <w:jc w:val="center"/>
        <w:rPr>
          <w:b/>
          <w:bCs/>
          <w:color w:val="000000"/>
          <w:sz w:val="22"/>
          <w:szCs w:val="22"/>
        </w:rPr>
      </w:pPr>
    </w:p>
    <w:p w:rsidR="00762C45" w:rsidRDefault="00762C45">
      <w:pPr>
        <w:spacing w:line="276" w:lineRule="auto"/>
        <w:jc w:val="center"/>
        <w:rPr>
          <w:b/>
          <w:bCs/>
          <w:color w:val="000000"/>
        </w:rPr>
      </w:pPr>
    </w:p>
    <w:p w:rsidR="00762C45" w:rsidRDefault="00762C45">
      <w:pPr>
        <w:spacing w:line="276" w:lineRule="auto"/>
        <w:jc w:val="center"/>
        <w:rPr>
          <w:b/>
          <w:bCs/>
          <w:color w:val="000000"/>
        </w:rPr>
      </w:pPr>
    </w:p>
    <w:p w:rsidR="00762C45" w:rsidRDefault="00762C45">
      <w:pPr>
        <w:spacing w:line="276" w:lineRule="auto"/>
        <w:jc w:val="center"/>
        <w:rPr>
          <w:b/>
          <w:bCs/>
          <w:color w:val="000000"/>
        </w:rPr>
      </w:pPr>
    </w:p>
    <w:p w:rsidR="00762C45" w:rsidRDefault="00762C45">
      <w:pPr>
        <w:spacing w:line="276" w:lineRule="auto"/>
        <w:jc w:val="center"/>
        <w:rPr>
          <w:b/>
          <w:bCs/>
          <w:color w:val="000000"/>
        </w:rPr>
      </w:pPr>
    </w:p>
    <w:p w:rsidR="00762C45" w:rsidRDefault="00303B66">
      <w:pPr>
        <w:spacing w:line="276" w:lineRule="auto"/>
        <w:jc w:val="center"/>
        <w:rPr>
          <w:b/>
          <w:bCs/>
          <w:color w:val="000000"/>
        </w:rPr>
      </w:pPr>
      <w:r>
        <w:rPr>
          <w:b/>
          <w:bCs/>
          <w:color w:val="000000"/>
        </w:rPr>
        <w:t>Vigia/PA</w:t>
      </w:r>
    </w:p>
    <w:p w:rsidR="00762C45" w:rsidRDefault="00303B66">
      <w:pPr>
        <w:spacing w:line="276" w:lineRule="auto"/>
        <w:jc w:val="center"/>
        <w:rPr>
          <w:b/>
          <w:bCs/>
          <w:color w:val="000000"/>
        </w:rPr>
      </w:pPr>
      <w:r>
        <w:rPr>
          <w:b/>
          <w:bCs/>
          <w:color w:val="000000"/>
        </w:rPr>
        <w:t>Fevereiro/2017</w:t>
      </w:r>
    </w:p>
    <w:p w:rsidR="00762C45" w:rsidRDefault="00303B66">
      <w:pPr>
        <w:rPr>
          <w:b/>
          <w:bCs/>
          <w:color w:val="000000"/>
        </w:rPr>
      </w:pPr>
      <w:r>
        <w:rPr>
          <w:b/>
          <w:bCs/>
          <w:noProof/>
          <w:color w:val="000000"/>
        </w:rPr>
        <w:lastRenderedPageBreak/>
        <w:drawing>
          <wp:anchor distT="0" distB="0" distL="133350" distR="2540" simplePos="0" relativeHeight="3" behindDoc="0" locked="0" layoutInCell="1" allowOverlap="1">
            <wp:simplePos x="0" y="0"/>
            <wp:positionH relativeFrom="column">
              <wp:posOffset>4112895</wp:posOffset>
            </wp:positionH>
            <wp:positionV relativeFrom="paragraph">
              <wp:posOffset>105410</wp:posOffset>
            </wp:positionV>
            <wp:extent cx="1483360" cy="532130"/>
            <wp:effectExtent l="0" t="0" r="0" b="0"/>
            <wp:wrapNone/>
            <wp:docPr id="3" name="Figura2" descr="Logomarca atualizada do Campus Avançado Vi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descr="Logomarca atualizada do Campus Avançado Vigia"/>
                    <pic:cNvPicPr>
                      <a:picLocks noChangeAspect="1" noChangeArrowheads="1"/>
                    </pic:cNvPicPr>
                  </pic:nvPicPr>
                  <pic:blipFill>
                    <a:blip r:embed="rId9"/>
                    <a:stretch>
                      <a:fillRect/>
                    </a:stretch>
                  </pic:blipFill>
                  <pic:spPr bwMode="auto">
                    <a:xfrm>
                      <a:off x="0" y="0"/>
                      <a:ext cx="1483360" cy="532130"/>
                    </a:xfrm>
                    <a:prstGeom prst="rect">
                      <a:avLst/>
                    </a:prstGeom>
                  </pic:spPr>
                </pic:pic>
              </a:graphicData>
            </a:graphic>
          </wp:anchor>
        </w:drawing>
      </w:r>
      <w:r>
        <w:rPr>
          <w:b/>
          <w:bCs/>
          <w:noProof/>
          <w:color w:val="000000"/>
        </w:rPr>
        <w:drawing>
          <wp:anchor distT="0" distB="0" distL="133350" distR="114300" simplePos="0" relativeHeight="4" behindDoc="1" locked="0" layoutInCell="1" allowOverlap="1">
            <wp:simplePos x="0" y="0"/>
            <wp:positionH relativeFrom="column">
              <wp:posOffset>-102870</wp:posOffset>
            </wp:positionH>
            <wp:positionV relativeFrom="paragraph">
              <wp:posOffset>12700</wp:posOffset>
            </wp:positionV>
            <wp:extent cx="688340" cy="715010"/>
            <wp:effectExtent l="0" t="0" r="0" b="0"/>
            <wp:wrapSquare wrapText="bothSides"/>
            <wp:docPr id="4"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3"/>
                    <pic:cNvPicPr>
                      <a:picLocks noChangeAspect="1" noChangeArrowheads="1"/>
                    </pic:cNvPicPr>
                  </pic:nvPicPr>
                  <pic:blipFill>
                    <a:blip r:embed="rId8"/>
                    <a:stretch>
                      <a:fillRect/>
                    </a:stretch>
                  </pic:blipFill>
                  <pic:spPr bwMode="auto">
                    <a:xfrm>
                      <a:off x="0" y="0"/>
                      <a:ext cx="688340" cy="715010"/>
                    </a:xfrm>
                    <a:prstGeom prst="rect">
                      <a:avLst/>
                    </a:prstGeom>
                  </pic:spPr>
                </pic:pic>
              </a:graphicData>
            </a:graphic>
          </wp:anchor>
        </w:drawing>
      </w:r>
    </w:p>
    <w:p w:rsidR="00762C45" w:rsidRDefault="00762C45">
      <w:pPr>
        <w:rPr>
          <w:b/>
          <w:sz w:val="22"/>
          <w:szCs w:val="22"/>
        </w:rPr>
      </w:pPr>
    </w:p>
    <w:p w:rsidR="00762C45" w:rsidRDefault="00762C45">
      <w:pPr>
        <w:jc w:val="center"/>
        <w:rPr>
          <w:b/>
        </w:rPr>
      </w:pPr>
    </w:p>
    <w:p w:rsidR="00762C45" w:rsidRDefault="00762C45">
      <w:pPr>
        <w:jc w:val="center"/>
        <w:rPr>
          <w:b/>
        </w:rPr>
      </w:pPr>
    </w:p>
    <w:p w:rsidR="00762C45" w:rsidRDefault="00762C45">
      <w:pPr>
        <w:jc w:val="center"/>
        <w:rPr>
          <w:b/>
        </w:rPr>
      </w:pPr>
    </w:p>
    <w:p w:rsidR="00762C45" w:rsidRDefault="00303B66">
      <w:pPr>
        <w:jc w:val="center"/>
      </w:pPr>
      <w:r>
        <w:rPr>
          <w:b/>
        </w:rPr>
        <w:t>MINISTÉRIO DA EDUCAÇÃO</w:t>
      </w:r>
    </w:p>
    <w:p w:rsidR="00762C45" w:rsidRDefault="00303B66">
      <w:pPr>
        <w:jc w:val="center"/>
        <w:rPr>
          <w:b/>
        </w:rPr>
      </w:pPr>
      <w:r>
        <w:rPr>
          <w:b/>
        </w:rPr>
        <w:t>SECRETARIA DE EDUCAÇÃO PROFISSIONAL E TECNOLÓGICA</w:t>
      </w:r>
    </w:p>
    <w:p w:rsidR="00762C45" w:rsidRDefault="00303B66">
      <w:pPr>
        <w:jc w:val="center"/>
        <w:rPr>
          <w:b/>
        </w:rPr>
      </w:pPr>
      <w:r>
        <w:rPr>
          <w:b/>
        </w:rPr>
        <w:t>INSTITUTO FEDERAL DE EDUCAÇÃO, CIÊNCIA E TECNOLOGIA DO PARÁ</w:t>
      </w:r>
    </w:p>
    <w:p w:rsidR="00762C45" w:rsidRDefault="00303B66">
      <w:pPr>
        <w:jc w:val="center"/>
      </w:pPr>
      <w:r>
        <w:rPr>
          <w:b/>
        </w:rPr>
        <w:t>CAMPUS AVANÇADO VIGIA</w:t>
      </w:r>
    </w:p>
    <w:p w:rsidR="00762C45" w:rsidRDefault="00762C45">
      <w:pPr>
        <w:pStyle w:val="normal10"/>
        <w:rPr>
          <w:b/>
          <w:sz w:val="24"/>
          <w:szCs w:val="24"/>
        </w:rPr>
      </w:pPr>
    </w:p>
    <w:p w:rsidR="00762C45" w:rsidRDefault="00303B66">
      <w:pPr>
        <w:pStyle w:val="normal10"/>
        <w:jc w:val="center"/>
        <w:rPr>
          <w:b/>
          <w:sz w:val="24"/>
          <w:szCs w:val="24"/>
        </w:rPr>
      </w:pPr>
      <w:r>
        <w:rPr>
          <w:b/>
          <w:sz w:val="24"/>
          <w:szCs w:val="24"/>
        </w:rPr>
        <w:t xml:space="preserve">PLANO DE DESENVOLVIMENTO DO CAMPUS AVANÇADO VIGIA </w:t>
      </w:r>
    </w:p>
    <w:p w:rsidR="00762C45" w:rsidRDefault="00303B66">
      <w:pPr>
        <w:pStyle w:val="normal10"/>
        <w:jc w:val="center"/>
        <w:rPr>
          <w:b/>
          <w:sz w:val="24"/>
          <w:szCs w:val="24"/>
        </w:rPr>
      </w:pPr>
      <w:r>
        <w:rPr>
          <w:b/>
          <w:sz w:val="24"/>
          <w:szCs w:val="24"/>
        </w:rPr>
        <w:t>PARA O TRIÊNIO 2016 - 2018</w:t>
      </w:r>
    </w:p>
    <w:p w:rsidR="00762C45" w:rsidRDefault="00762C45">
      <w:pPr>
        <w:pStyle w:val="normal10"/>
        <w:rPr>
          <w:b/>
          <w:sz w:val="24"/>
          <w:szCs w:val="24"/>
        </w:rPr>
      </w:pPr>
    </w:p>
    <w:p w:rsidR="00762C45" w:rsidRDefault="00762C45">
      <w:pPr>
        <w:pStyle w:val="normal10"/>
        <w:rPr>
          <w:b/>
          <w:sz w:val="24"/>
          <w:szCs w:val="24"/>
        </w:rPr>
      </w:pPr>
    </w:p>
    <w:p w:rsidR="00762C45" w:rsidRDefault="00303B66">
      <w:pPr>
        <w:pStyle w:val="normal10"/>
        <w:rPr>
          <w:b/>
          <w:sz w:val="24"/>
          <w:szCs w:val="24"/>
        </w:rPr>
      </w:pPr>
      <w:r>
        <w:rPr>
          <w:b/>
          <w:sz w:val="24"/>
          <w:szCs w:val="24"/>
        </w:rPr>
        <w:t>EQUIPE GESTORA DO CAMPUS AVANÇADO VIGIA</w:t>
      </w:r>
    </w:p>
    <w:p w:rsidR="00762C45" w:rsidRDefault="00762C45">
      <w:pPr>
        <w:pStyle w:val="normal10"/>
        <w:rPr>
          <w:b/>
          <w:sz w:val="24"/>
          <w:szCs w:val="24"/>
        </w:rPr>
      </w:pPr>
    </w:p>
    <w:p w:rsidR="00762C45" w:rsidRDefault="00762C45">
      <w:pPr>
        <w:pStyle w:val="normal10"/>
        <w:rPr>
          <w:b/>
          <w:sz w:val="24"/>
          <w:szCs w:val="24"/>
        </w:rPr>
      </w:pPr>
    </w:p>
    <w:p w:rsidR="00762C45" w:rsidRDefault="00303B66">
      <w:pPr>
        <w:pStyle w:val="normal10"/>
        <w:rPr>
          <w:b/>
          <w:sz w:val="24"/>
          <w:szCs w:val="24"/>
        </w:rPr>
      </w:pPr>
      <w:r>
        <w:rPr>
          <w:b/>
          <w:sz w:val="24"/>
          <w:szCs w:val="24"/>
        </w:rPr>
        <w:t>Solange Felicidade Marques Ferreira</w:t>
      </w:r>
    </w:p>
    <w:p w:rsidR="00762C45" w:rsidRDefault="00303B66">
      <w:r>
        <w:t>Diretora Geral</w:t>
      </w:r>
    </w:p>
    <w:p w:rsidR="00762C45" w:rsidRDefault="00762C45">
      <w:pPr>
        <w:pStyle w:val="normal10"/>
        <w:rPr>
          <w:sz w:val="24"/>
          <w:szCs w:val="24"/>
        </w:rPr>
      </w:pPr>
    </w:p>
    <w:p w:rsidR="00762C45" w:rsidRDefault="00762C45"/>
    <w:p w:rsidR="00762C45" w:rsidRDefault="00303B66">
      <w:pPr>
        <w:rPr>
          <w:b/>
        </w:rPr>
      </w:pPr>
      <w:r>
        <w:rPr>
          <w:b/>
        </w:rPr>
        <w:t>Vanilda de Magalhães Martins Vasconcelos</w:t>
      </w:r>
    </w:p>
    <w:p w:rsidR="00762C45" w:rsidRDefault="00303B66">
      <w:r>
        <w:t xml:space="preserve">Diretora de Ensino </w:t>
      </w:r>
    </w:p>
    <w:p w:rsidR="00762C45" w:rsidRDefault="00762C45"/>
    <w:p w:rsidR="00762C45" w:rsidRDefault="00762C45"/>
    <w:p w:rsidR="00762C45" w:rsidRDefault="00303B66">
      <w:pPr>
        <w:rPr>
          <w:b/>
          <w:color w:val="000000" w:themeColor="text1"/>
        </w:rPr>
      </w:pPr>
      <w:r>
        <w:rPr>
          <w:b/>
          <w:color w:val="000000" w:themeColor="text1"/>
        </w:rPr>
        <w:t>Amanda Cristiane da Silva Costa</w:t>
      </w:r>
    </w:p>
    <w:p w:rsidR="00762C45" w:rsidRDefault="00303B66">
      <w:pPr>
        <w:rPr>
          <w:b/>
        </w:rPr>
      </w:pPr>
      <w:r>
        <w:t>Coordenadora do Curso Técnico subsequente em Informática</w:t>
      </w:r>
    </w:p>
    <w:p w:rsidR="00762C45" w:rsidRDefault="00762C45">
      <w:pPr>
        <w:rPr>
          <w:b/>
        </w:rPr>
      </w:pPr>
    </w:p>
    <w:p w:rsidR="00762C45" w:rsidRDefault="00762C45">
      <w:pPr>
        <w:rPr>
          <w:b/>
        </w:rPr>
      </w:pPr>
    </w:p>
    <w:p w:rsidR="00762C45" w:rsidRDefault="00303B66">
      <w:pPr>
        <w:rPr>
          <w:b/>
        </w:rPr>
      </w:pPr>
      <w:r>
        <w:rPr>
          <w:b/>
        </w:rPr>
        <w:t>Liliane Amanda Oliveira das Dores</w:t>
      </w:r>
    </w:p>
    <w:p w:rsidR="00762C45" w:rsidRDefault="00303B66">
      <w:r>
        <w:t>Coordenadora do Curso Técnico subsequente em Eventos</w:t>
      </w:r>
    </w:p>
    <w:p w:rsidR="00762C45" w:rsidRDefault="00762C45"/>
    <w:p w:rsidR="00762C45" w:rsidRDefault="00762C45"/>
    <w:p w:rsidR="00762C45" w:rsidRDefault="00303B66">
      <w:pPr>
        <w:rPr>
          <w:b/>
        </w:rPr>
      </w:pPr>
      <w:r>
        <w:rPr>
          <w:b/>
        </w:rPr>
        <w:t>Ylana Priscila da Costa Melo Carvalho</w:t>
      </w:r>
    </w:p>
    <w:p w:rsidR="00762C45" w:rsidRDefault="00303B66">
      <w:r>
        <w:t>Coordenadora do Curso Técnico subsequente em Recursos Pesqueiros</w:t>
      </w:r>
    </w:p>
    <w:p w:rsidR="00762C45" w:rsidRDefault="00762C45">
      <w:pPr>
        <w:rPr>
          <w:b/>
        </w:rPr>
      </w:pPr>
    </w:p>
    <w:p w:rsidR="00762C45" w:rsidRDefault="00762C45">
      <w:pPr>
        <w:rPr>
          <w:b/>
        </w:rPr>
      </w:pPr>
    </w:p>
    <w:p w:rsidR="00762C45" w:rsidRDefault="00303B66">
      <w:pPr>
        <w:rPr>
          <w:b/>
        </w:rPr>
      </w:pPr>
      <w:r>
        <w:rPr>
          <w:b/>
        </w:rPr>
        <w:t>Keila Renata Moreira Mourão</w:t>
      </w:r>
    </w:p>
    <w:p w:rsidR="00762C45" w:rsidRDefault="00303B66">
      <w:r>
        <w:t xml:space="preserve">Coordenadora de Pesquisa e Extensão </w:t>
      </w:r>
    </w:p>
    <w:p w:rsidR="00762C45" w:rsidRDefault="00762C45">
      <w:pPr>
        <w:rPr>
          <w:b/>
        </w:rPr>
      </w:pPr>
    </w:p>
    <w:p w:rsidR="00762C45" w:rsidRDefault="00762C45"/>
    <w:p w:rsidR="00762C45" w:rsidRDefault="00303B66">
      <w:pPr>
        <w:rPr>
          <w:b/>
        </w:rPr>
      </w:pPr>
      <w:r>
        <w:rPr>
          <w:b/>
        </w:rPr>
        <w:t>Demetrius Simonassi Resende</w:t>
      </w:r>
    </w:p>
    <w:p w:rsidR="00762C45" w:rsidRDefault="00303B66">
      <w:r>
        <w:t>Coordenador de Tecnologia da Informação</w:t>
      </w:r>
    </w:p>
    <w:p w:rsidR="00762C45" w:rsidRDefault="00762C45"/>
    <w:p w:rsidR="00762C45" w:rsidRDefault="00762C45"/>
    <w:p w:rsidR="00762C45" w:rsidRDefault="00762C45">
      <w:pPr>
        <w:rPr>
          <w:b/>
        </w:rPr>
      </w:pPr>
    </w:p>
    <w:p w:rsidR="00762C45" w:rsidRDefault="00762C45">
      <w:pPr>
        <w:widowControl/>
        <w:jc w:val="center"/>
        <w:rPr>
          <w:b/>
          <w:bCs/>
          <w:color w:val="000000"/>
        </w:rPr>
      </w:pPr>
    </w:p>
    <w:p w:rsidR="00762C45" w:rsidRDefault="00762C45">
      <w:pPr>
        <w:widowControl/>
        <w:jc w:val="center"/>
        <w:rPr>
          <w:b/>
          <w:bCs/>
          <w:color w:val="000000"/>
        </w:rPr>
      </w:pPr>
    </w:p>
    <w:p w:rsidR="00762C45" w:rsidRDefault="00762C45">
      <w:pPr>
        <w:widowControl/>
        <w:jc w:val="center"/>
        <w:rPr>
          <w:b/>
          <w:bCs/>
          <w:color w:val="000000"/>
        </w:rPr>
      </w:pPr>
    </w:p>
    <w:p w:rsidR="00762C45" w:rsidRDefault="00762C45">
      <w:pPr>
        <w:widowControl/>
        <w:jc w:val="center"/>
        <w:rPr>
          <w:b/>
          <w:bCs/>
          <w:color w:val="000000"/>
        </w:rPr>
      </w:pPr>
    </w:p>
    <w:p w:rsidR="00762C45" w:rsidRDefault="00762C45">
      <w:pPr>
        <w:widowControl/>
        <w:jc w:val="center"/>
        <w:rPr>
          <w:b/>
          <w:bCs/>
          <w:color w:val="000000"/>
        </w:rPr>
      </w:pPr>
    </w:p>
    <w:p w:rsidR="00762C45" w:rsidRDefault="00762C45">
      <w:pPr>
        <w:widowControl/>
        <w:jc w:val="center"/>
        <w:rPr>
          <w:b/>
          <w:bCs/>
          <w:color w:val="000000"/>
        </w:rPr>
      </w:pPr>
    </w:p>
    <w:p w:rsidR="00762C45" w:rsidRDefault="00762C45">
      <w:pPr>
        <w:widowControl/>
        <w:jc w:val="center"/>
        <w:rPr>
          <w:b/>
          <w:bCs/>
          <w:color w:val="000000"/>
        </w:rPr>
      </w:pPr>
    </w:p>
    <w:p w:rsidR="00762C45" w:rsidRDefault="00303B66">
      <w:pPr>
        <w:widowControl/>
        <w:jc w:val="center"/>
        <w:rPr>
          <w:b/>
          <w:bCs/>
          <w:color w:val="000000"/>
          <w:sz w:val="22"/>
          <w:szCs w:val="22"/>
        </w:rPr>
      </w:pPr>
      <w:r>
        <w:rPr>
          <w:b/>
          <w:bCs/>
          <w:color w:val="000000"/>
          <w:sz w:val="22"/>
          <w:szCs w:val="22"/>
        </w:rPr>
        <w:lastRenderedPageBreak/>
        <w:t>LISTA DE FIGURAS</w:t>
      </w:r>
    </w:p>
    <w:p w:rsidR="00762C45" w:rsidRDefault="00762C45">
      <w:pPr>
        <w:widowControl/>
        <w:jc w:val="center"/>
      </w:pPr>
    </w:p>
    <w:p w:rsidR="00762C45" w:rsidRDefault="00303B66">
      <w:pPr>
        <w:pStyle w:val="ndicedeilustraes"/>
        <w:tabs>
          <w:tab w:val="right" w:leader="dot" w:pos="9736"/>
        </w:tabs>
      </w:pPr>
      <w:r>
        <w:fldChar w:fldCharType="begin"/>
      </w:r>
      <w:r>
        <w:instrText>TOC \c "Figura"</w:instrText>
      </w:r>
      <w:r>
        <w:fldChar w:fldCharType="separate"/>
      </w:r>
      <w:r>
        <w:rPr>
          <w:b/>
        </w:rPr>
        <w:t xml:space="preserve">Figura </w:t>
      </w:r>
      <w:r>
        <w:t>1</w:t>
      </w:r>
      <w:r>
        <w:rPr>
          <w:b/>
        </w:rPr>
        <w:t>. Organograma atual do Campus Avançado Vigia</w:t>
      </w:r>
      <w:r>
        <w:tab/>
        <w:t>3</w:t>
      </w:r>
      <w:r>
        <w:rPr>
          <w:rFonts w:cstheme="minorBidi"/>
        </w:rPr>
        <w:t>7</w:t>
      </w:r>
    </w:p>
    <w:p w:rsidR="00762C45" w:rsidRDefault="00303B66">
      <w:pPr>
        <w:widowControl/>
        <w:jc w:val="both"/>
        <w:rPr>
          <w:b/>
          <w:bCs/>
          <w:color w:val="000000"/>
          <w:sz w:val="22"/>
          <w:szCs w:val="22"/>
        </w:rPr>
      </w:pPr>
      <w:r>
        <w:fldChar w:fldCharType="end"/>
      </w:r>
    </w:p>
    <w:p w:rsidR="00762C45" w:rsidRDefault="00762C45">
      <w:pPr>
        <w:widowControl/>
        <w:jc w:val="center"/>
        <w:rPr>
          <w:b/>
          <w:bCs/>
          <w:color w:val="000000"/>
          <w:sz w:val="22"/>
          <w:szCs w:val="22"/>
        </w:rPr>
      </w:pPr>
    </w:p>
    <w:p w:rsidR="00762C45" w:rsidRDefault="00303B66">
      <w:pPr>
        <w:widowControl/>
        <w:jc w:val="center"/>
        <w:rPr>
          <w:b/>
          <w:bCs/>
          <w:color w:val="000000"/>
          <w:sz w:val="22"/>
          <w:szCs w:val="22"/>
        </w:rPr>
      </w:pPr>
      <w:r>
        <w:rPr>
          <w:b/>
          <w:bCs/>
          <w:color w:val="000000"/>
          <w:sz w:val="22"/>
          <w:szCs w:val="22"/>
        </w:rPr>
        <w:t>LISTA DE QUADROS</w:t>
      </w:r>
    </w:p>
    <w:p w:rsidR="00762C45" w:rsidRDefault="00762C45">
      <w:pPr>
        <w:widowControl/>
        <w:jc w:val="center"/>
      </w:pPr>
    </w:p>
    <w:p w:rsidR="00762C45" w:rsidRDefault="00303B66">
      <w:pPr>
        <w:pStyle w:val="ndicedeilustraes"/>
        <w:tabs>
          <w:tab w:val="right" w:leader="dot" w:pos="9736"/>
        </w:tabs>
        <w:rPr>
          <w:rFonts w:asciiTheme="minorHAnsi" w:hAnsiTheme="minorHAnsi" w:cstheme="minorBidi"/>
          <w:sz w:val="22"/>
          <w:szCs w:val="22"/>
        </w:rPr>
      </w:pPr>
      <w:r>
        <w:fldChar w:fldCharType="begin"/>
      </w:r>
      <w:r>
        <w:instrText>TOC \c "Quadro"</w:instrText>
      </w:r>
      <w:r>
        <w:fldChar w:fldCharType="separate"/>
      </w:r>
      <w:r>
        <w:rPr>
          <w:b/>
        </w:rPr>
        <w:t xml:space="preserve">Quadro </w:t>
      </w:r>
      <w:r>
        <w:t>1</w:t>
      </w:r>
      <w:r>
        <w:rPr>
          <w:b/>
        </w:rPr>
        <w:t>. Objetivos, metas, indicadores e estratégias do Campus Avançado Vigia definidos para o triênio 2016-2018</w:t>
      </w:r>
      <w:r>
        <w:tab/>
        <w:t>9</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2</w:t>
      </w:r>
      <w:r>
        <w:rPr>
          <w:b/>
        </w:rPr>
        <w:t xml:space="preserve">. </w:t>
      </w:r>
      <w:r>
        <w:rPr>
          <w:b/>
          <w:bCs/>
        </w:rPr>
        <w:t>Cronograma de atividades do processo de avaliação interna e externa do CAV no período 2016 a 2018</w:t>
      </w:r>
      <w:r>
        <w:tab/>
        <w:t>21</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3</w:t>
      </w:r>
      <w:r>
        <w:rPr>
          <w:b/>
        </w:rPr>
        <w:t>. Vagas previstas por Curso Técnico Subsequente de 2014 a 2018, pelo CAV</w:t>
      </w:r>
      <w:r>
        <w:tab/>
        <w:t>23</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4</w:t>
      </w:r>
      <w:r>
        <w:rPr>
          <w:b/>
        </w:rPr>
        <w:t>.  Vagas previstas por curso do PROEJA FIC no período de 2014 a 2018</w:t>
      </w:r>
      <w:r>
        <w:tab/>
        <w:t>23</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5</w:t>
      </w:r>
      <w:r>
        <w:rPr>
          <w:b/>
        </w:rPr>
        <w:t>. Vagas por cursos de oferta FIC regular no período de 2014 a 2018</w:t>
      </w:r>
      <w:r>
        <w:tab/>
        <w:t>24</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6</w:t>
      </w:r>
      <w:r>
        <w:rPr>
          <w:b/>
        </w:rPr>
        <w:t>. Curso de graduação a ser ofertado a partir de 2018 pelo CAV</w:t>
      </w:r>
      <w:r>
        <w:tab/>
        <w:t>25</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7</w:t>
      </w:r>
      <w:r>
        <w:rPr>
          <w:b/>
        </w:rPr>
        <w:t>. Cursos de pós-graduação lato sensu a serem ofertados pelo CAV no período 2017-2018</w:t>
      </w:r>
      <w:r>
        <w:tab/>
        <w:t>27</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8</w:t>
      </w:r>
      <w:r>
        <w:rPr>
          <w:b/>
        </w:rPr>
        <w:t>. Informações sobre áreas ou subunidades estratégicas do CAV</w:t>
      </w:r>
      <w:r>
        <w:tab/>
        <w:t>37</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9</w:t>
      </w:r>
      <w:r>
        <w:rPr>
          <w:b/>
        </w:rPr>
        <w:t>. Perfil do corpo docente do Campus Avançado Vigia</w:t>
      </w:r>
      <w:r>
        <w:tab/>
        <w:t>40</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10</w:t>
      </w:r>
      <w:r>
        <w:rPr>
          <w:b/>
        </w:rPr>
        <w:t>. Titulação e regime de trabalho dos servidores técnico-</w:t>
      </w:r>
      <w:r>
        <w:t>administrativos</w:t>
      </w:r>
      <w:r>
        <w:rPr>
          <w:b/>
        </w:rPr>
        <w:t xml:space="preserve"> do CAV</w:t>
      </w:r>
      <w:r>
        <w:tab/>
        <w:t>43</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11</w:t>
      </w:r>
      <w:r>
        <w:rPr>
          <w:b/>
        </w:rPr>
        <w:t>. Dimensões (m²) da infraestrutura existente e projetada do CAV para o triênio 2016-2018</w:t>
      </w:r>
      <w:r>
        <w:tab/>
        <w:t>44</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12</w:t>
      </w:r>
      <w:r>
        <w:rPr>
          <w:b/>
        </w:rPr>
        <w:t>. Unidades administrativas do CAV, existentes e projetadas para o triênio 2016-2018</w:t>
      </w:r>
      <w:r>
        <w:tab/>
        <w:t>45</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13</w:t>
      </w:r>
      <w:r>
        <w:rPr>
          <w:b/>
        </w:rPr>
        <w:t>. Infraestrutura Pedagógica atual e projetada para o triênio 2016-2018</w:t>
      </w:r>
      <w:r>
        <w:tab/>
        <w:t>45</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14</w:t>
      </w:r>
      <w:r>
        <w:rPr>
          <w:b/>
        </w:rPr>
        <w:t>. Infraestrutura para atividades físicas e desportivas para o triênio 2016-2018</w:t>
      </w:r>
      <w:r>
        <w:tab/>
        <w:t>45</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15</w:t>
      </w:r>
      <w:r>
        <w:rPr>
          <w:b/>
        </w:rPr>
        <w:t>. Infraestrutura atual e projetada de informática, climatização e segurança do CAV para o período 2016-2018</w:t>
      </w:r>
      <w:r>
        <w:tab/>
        <w:t>45</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16</w:t>
      </w:r>
      <w:r>
        <w:rPr>
          <w:b/>
        </w:rPr>
        <w:t>. Infraestrutura necessária para o funcionamento dos ambientes da Biblioteca do CAV</w:t>
      </w:r>
      <w:r>
        <w:tab/>
        <w:t>46</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17</w:t>
      </w:r>
      <w:r>
        <w:rPr>
          <w:b/>
        </w:rPr>
        <w:t>. Acervo bibliográfico existente e projeção para o triênio 2016-2018</w:t>
      </w:r>
      <w:r>
        <w:tab/>
        <w:t>47</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18</w:t>
      </w:r>
      <w:r>
        <w:rPr>
          <w:b/>
        </w:rPr>
        <w:t>. Infraestrutura de Laboratório de Informática existente e projeção para o triênio 2016-2018</w:t>
      </w:r>
      <w:r>
        <w:tab/>
        <w:t>49</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19</w:t>
      </w:r>
      <w:r>
        <w:rPr>
          <w:b/>
        </w:rPr>
        <w:t>. Infraestrutura de Laboratórios, ambientes e cenários para práticas didáticas</w:t>
      </w:r>
      <w:r>
        <w:tab/>
        <w:t>50</w:t>
      </w:r>
    </w:p>
    <w:p w:rsidR="00762C45" w:rsidRDefault="00303B66">
      <w:pPr>
        <w:pStyle w:val="ndicedeilustraes"/>
        <w:tabs>
          <w:tab w:val="right" w:leader="dot" w:pos="9736"/>
        </w:tabs>
        <w:rPr>
          <w:rFonts w:asciiTheme="minorHAnsi" w:hAnsiTheme="minorHAnsi" w:cstheme="minorBidi"/>
          <w:sz w:val="22"/>
          <w:szCs w:val="22"/>
        </w:rPr>
      </w:pPr>
      <w:r>
        <w:rPr>
          <w:b/>
        </w:rPr>
        <w:t xml:space="preserve">Quadro </w:t>
      </w:r>
      <w:r>
        <w:t>20</w:t>
      </w:r>
      <w:r>
        <w:rPr>
          <w:b/>
        </w:rPr>
        <w:t>. Infraestrutura atual de acessibilidade do CAV e expansão para o triênio 2016-2018</w:t>
      </w:r>
      <w:r>
        <w:tab/>
        <w:t>50</w:t>
      </w:r>
    </w:p>
    <w:p w:rsidR="00762C45" w:rsidRDefault="00303B66">
      <w:pPr>
        <w:pStyle w:val="ndicedefiguras1"/>
        <w:tabs>
          <w:tab w:val="right" w:leader="dot" w:pos="9746"/>
        </w:tabs>
      </w:pPr>
      <w:r>
        <w:fldChar w:fldCharType="end"/>
      </w: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p w:rsidR="00762C45" w:rsidRDefault="00762C45">
      <w:pPr>
        <w:widowControl/>
        <w:jc w:val="both"/>
        <w:rPr>
          <w:bCs/>
          <w:color w:val="000000"/>
          <w:sz w:val="22"/>
          <w:szCs w:val="22"/>
        </w:rPr>
      </w:pPr>
    </w:p>
    <w:bookmarkStart w:id="0" w:name="_Toc474391154" w:displacedByCustomXml="next"/>
    <w:bookmarkEnd w:id="0" w:displacedByCustomXml="next"/>
    <w:sdt>
      <w:sdtPr>
        <w:rPr>
          <w:rFonts w:ascii="Times New Roman" w:eastAsiaTheme="minorEastAsia" w:hAnsi="Times New Roman" w:cs="Times New Roman"/>
          <w:color w:val="00000A"/>
          <w:sz w:val="24"/>
          <w:szCs w:val="24"/>
        </w:rPr>
        <w:id w:val="1504159345"/>
        <w:docPartObj>
          <w:docPartGallery w:val="Table of Contents"/>
          <w:docPartUnique/>
        </w:docPartObj>
      </w:sdtPr>
      <w:sdtContent>
        <w:p w:rsidR="00762C45" w:rsidRDefault="00303B66">
          <w:pPr>
            <w:pStyle w:val="CabealhodoSumrio"/>
            <w:jc w:val="center"/>
          </w:pPr>
          <w:r>
            <w:rPr>
              <w:rFonts w:ascii="Times New Roman" w:hAnsi="Times New Roman" w:cs="Times New Roman"/>
              <w:b/>
              <w:color w:val="00000A"/>
              <w:sz w:val="22"/>
              <w:szCs w:val="22"/>
            </w:rPr>
            <w:t>SUMÁRIO</w:t>
          </w:r>
        </w:p>
        <w:p w:rsidR="00762C45" w:rsidRDefault="00303B66">
          <w:pPr>
            <w:pStyle w:val="Sumrio1"/>
            <w:tabs>
              <w:tab w:val="right" w:leader="dot" w:pos="9736"/>
            </w:tabs>
            <w:rPr>
              <w:rFonts w:asciiTheme="minorHAnsi" w:hAnsiTheme="minorHAnsi" w:cstheme="minorBidi"/>
              <w:sz w:val="22"/>
              <w:szCs w:val="22"/>
            </w:rPr>
          </w:pPr>
          <w:r>
            <w:fldChar w:fldCharType="begin"/>
          </w:r>
          <w:r>
            <w:instrText>TOC \z \o "1-3" \u \h</w:instrText>
          </w:r>
          <w:r>
            <w:fldChar w:fldCharType="separate"/>
          </w:r>
          <w:hyperlink w:anchor="_Toc474391154">
            <w:r>
              <w:rPr>
                <w:rStyle w:val="Vnculodendice"/>
                <w:b/>
                <w:webHidden/>
              </w:rPr>
              <w:t>SUMÁRIO</w:t>
            </w:r>
            <w:r>
              <w:rPr>
                <w:webHidden/>
              </w:rPr>
              <w:fldChar w:fldCharType="begin"/>
            </w:r>
            <w:r>
              <w:rPr>
                <w:webHidden/>
              </w:rPr>
              <w:instrText>PAGEREF _Toc474391154 \h</w:instrText>
            </w:r>
            <w:r>
              <w:rPr>
                <w:webHidden/>
              </w:rPr>
            </w:r>
            <w:r>
              <w:rPr>
                <w:webHidden/>
              </w:rPr>
              <w:fldChar w:fldCharType="separate"/>
            </w:r>
            <w:r>
              <w:rPr>
                <w:noProof/>
                <w:webHidden/>
              </w:rPr>
              <w:t>4</w:t>
            </w:r>
            <w:r>
              <w:rPr>
                <w:webHidden/>
              </w:rPr>
              <w:fldChar w:fldCharType="end"/>
            </w:r>
          </w:hyperlink>
        </w:p>
        <w:p w:rsidR="00762C45" w:rsidRDefault="00303B66">
          <w:pPr>
            <w:pStyle w:val="Sumrio3"/>
            <w:rPr>
              <w:rFonts w:asciiTheme="minorHAnsi" w:hAnsiTheme="minorHAnsi" w:cstheme="minorBidi"/>
              <w:sz w:val="22"/>
              <w:szCs w:val="22"/>
            </w:rPr>
          </w:pPr>
          <w:hyperlink w:anchor="_Toc474391155">
            <w:r>
              <w:rPr>
                <w:webHidden/>
              </w:rPr>
              <w:fldChar w:fldCharType="begin"/>
            </w:r>
            <w:r>
              <w:rPr>
                <w:webHidden/>
              </w:rPr>
              <w:instrText>PAGEREF _Toc474391155 \h</w:instrText>
            </w:r>
            <w:r>
              <w:rPr>
                <w:webHidden/>
              </w:rPr>
            </w:r>
            <w:r>
              <w:rPr>
                <w:webHidden/>
              </w:rPr>
              <w:fldChar w:fldCharType="separate"/>
            </w:r>
            <w:r>
              <w:rPr>
                <w:noProof/>
                <w:webHidden/>
              </w:rPr>
              <w:t>6</w:t>
            </w:r>
            <w:r>
              <w:rPr>
                <w:webHidden/>
              </w:rPr>
              <w:fldChar w:fldCharType="end"/>
            </w:r>
          </w:hyperlink>
        </w:p>
        <w:p w:rsidR="00762C45" w:rsidRDefault="00303B66">
          <w:pPr>
            <w:pStyle w:val="Sumrio1"/>
            <w:tabs>
              <w:tab w:val="right" w:leader="dot" w:pos="9736"/>
            </w:tabs>
            <w:rPr>
              <w:rFonts w:asciiTheme="minorHAnsi" w:hAnsiTheme="minorHAnsi" w:cstheme="minorBidi"/>
              <w:sz w:val="22"/>
              <w:szCs w:val="22"/>
            </w:rPr>
          </w:pPr>
          <w:hyperlink w:anchor="_Toc474391156">
            <w:r>
              <w:rPr>
                <w:rStyle w:val="Vnculodendice"/>
                <w:b/>
                <w:bCs/>
                <w:webHidden/>
              </w:rPr>
              <w:t>1. PLANEJAMENTO E DESENVOLVIMENTO INSTITUCIONAL</w:t>
            </w:r>
            <w:r>
              <w:rPr>
                <w:webHidden/>
              </w:rPr>
              <w:fldChar w:fldCharType="begin"/>
            </w:r>
            <w:r>
              <w:rPr>
                <w:webHidden/>
              </w:rPr>
              <w:instrText>PAGEREF _Toc474391156 \h</w:instrText>
            </w:r>
            <w:r>
              <w:rPr>
                <w:webHidden/>
              </w:rPr>
            </w:r>
            <w:r>
              <w:rPr>
                <w:webHidden/>
              </w:rPr>
              <w:fldChar w:fldCharType="separate"/>
            </w:r>
            <w:r>
              <w:rPr>
                <w:noProof/>
                <w:webHidden/>
              </w:rPr>
              <w:t>6</w:t>
            </w:r>
            <w:r>
              <w:rPr>
                <w:webHidden/>
              </w:rPr>
              <w:fldChar w:fldCharType="end"/>
            </w:r>
          </w:hyperlink>
        </w:p>
        <w:p w:rsidR="00762C45" w:rsidRDefault="00303B66">
          <w:pPr>
            <w:pStyle w:val="Sumrio2"/>
            <w:rPr>
              <w:rFonts w:asciiTheme="minorHAnsi" w:hAnsiTheme="minorHAnsi" w:cstheme="minorBidi"/>
              <w:sz w:val="22"/>
              <w:szCs w:val="22"/>
            </w:rPr>
          </w:pPr>
          <w:hyperlink w:anchor="_Toc474391157">
            <w:r>
              <w:rPr>
                <w:rStyle w:val="Vnculodendice"/>
                <w:b/>
                <w:bCs/>
                <w:webHidden/>
              </w:rPr>
              <w:t>1.1</w:t>
            </w:r>
            <w:r>
              <w:rPr>
                <w:rStyle w:val="Vnculodendice"/>
                <w:rFonts w:asciiTheme="minorHAnsi" w:hAnsiTheme="minorHAnsi" w:cstheme="minorBidi"/>
                <w:sz w:val="22"/>
                <w:szCs w:val="22"/>
              </w:rPr>
              <w:tab/>
            </w:r>
            <w:r>
              <w:rPr>
                <w:rStyle w:val="Vnculodendice"/>
                <w:b/>
                <w:bCs/>
              </w:rPr>
              <w:t xml:space="preserve"> Missão Institucional</w:t>
            </w:r>
            <w:r>
              <w:rPr>
                <w:webHidden/>
              </w:rPr>
              <w:fldChar w:fldCharType="begin"/>
            </w:r>
            <w:r>
              <w:rPr>
                <w:webHidden/>
              </w:rPr>
              <w:instrText>PAGEREF _Toc474391157 \h</w:instrText>
            </w:r>
            <w:r>
              <w:rPr>
                <w:webHidden/>
              </w:rPr>
            </w:r>
            <w:r>
              <w:rPr>
                <w:webHidden/>
              </w:rPr>
              <w:fldChar w:fldCharType="separate"/>
            </w:r>
            <w:r>
              <w:rPr>
                <w:noProof/>
                <w:webHidden/>
              </w:rPr>
              <w:t>7</w:t>
            </w:r>
            <w:r>
              <w:rPr>
                <w:webHidden/>
              </w:rPr>
              <w:fldChar w:fldCharType="end"/>
            </w:r>
          </w:hyperlink>
        </w:p>
        <w:p w:rsidR="00762C45" w:rsidRDefault="00303B66">
          <w:pPr>
            <w:pStyle w:val="Sumrio2"/>
            <w:rPr>
              <w:rFonts w:asciiTheme="minorHAnsi" w:hAnsiTheme="minorHAnsi" w:cstheme="minorBidi"/>
              <w:sz w:val="22"/>
              <w:szCs w:val="22"/>
            </w:rPr>
          </w:pPr>
          <w:hyperlink w:anchor="_Toc474391158">
            <w:r>
              <w:rPr>
                <w:rStyle w:val="Vnculodendice"/>
                <w:b/>
                <w:bCs/>
                <w:webHidden/>
              </w:rPr>
              <w:t>1.2 Visão</w:t>
            </w:r>
            <w:r>
              <w:rPr>
                <w:webHidden/>
              </w:rPr>
              <w:fldChar w:fldCharType="begin"/>
            </w:r>
            <w:r>
              <w:rPr>
                <w:webHidden/>
              </w:rPr>
              <w:instrText>PAGEREF _Toc474391158 \h</w:instrText>
            </w:r>
            <w:r>
              <w:rPr>
                <w:webHidden/>
              </w:rPr>
            </w:r>
            <w:r>
              <w:rPr>
                <w:webHidden/>
              </w:rPr>
              <w:fldChar w:fldCharType="separate"/>
            </w:r>
            <w:r>
              <w:rPr>
                <w:noProof/>
                <w:webHidden/>
              </w:rPr>
              <w:t>7</w:t>
            </w:r>
            <w:r>
              <w:rPr>
                <w:webHidden/>
              </w:rPr>
              <w:fldChar w:fldCharType="end"/>
            </w:r>
          </w:hyperlink>
        </w:p>
        <w:p w:rsidR="00762C45" w:rsidRDefault="00303B66">
          <w:pPr>
            <w:pStyle w:val="Sumrio2"/>
            <w:rPr>
              <w:rFonts w:asciiTheme="minorHAnsi" w:hAnsiTheme="minorHAnsi" w:cstheme="minorBidi"/>
              <w:sz w:val="22"/>
              <w:szCs w:val="22"/>
            </w:rPr>
          </w:pPr>
          <w:hyperlink w:anchor="_Toc474391159">
            <w:r>
              <w:rPr>
                <w:rStyle w:val="Vnculodendice"/>
                <w:b/>
                <w:bCs/>
                <w:webHidden/>
              </w:rPr>
              <w:t>1.3 Valores</w:t>
            </w:r>
            <w:r>
              <w:rPr>
                <w:webHidden/>
              </w:rPr>
              <w:fldChar w:fldCharType="begin"/>
            </w:r>
            <w:r>
              <w:rPr>
                <w:webHidden/>
              </w:rPr>
              <w:instrText>PAGEREF _Toc474391159 \h</w:instrText>
            </w:r>
            <w:r>
              <w:rPr>
                <w:webHidden/>
              </w:rPr>
            </w:r>
            <w:r>
              <w:rPr>
                <w:webHidden/>
              </w:rPr>
              <w:fldChar w:fldCharType="separate"/>
            </w:r>
            <w:r>
              <w:rPr>
                <w:noProof/>
                <w:webHidden/>
              </w:rPr>
              <w:t>7</w:t>
            </w:r>
            <w:r>
              <w:rPr>
                <w:webHidden/>
              </w:rPr>
              <w:fldChar w:fldCharType="end"/>
            </w:r>
          </w:hyperlink>
        </w:p>
        <w:p w:rsidR="00762C45" w:rsidRDefault="00303B66">
          <w:pPr>
            <w:pStyle w:val="Sumrio2"/>
            <w:rPr>
              <w:rFonts w:asciiTheme="minorHAnsi" w:hAnsiTheme="minorHAnsi" w:cstheme="minorBidi"/>
              <w:sz w:val="22"/>
              <w:szCs w:val="22"/>
            </w:rPr>
          </w:pPr>
          <w:hyperlink w:anchor="_Toc474391160">
            <w:r>
              <w:rPr>
                <w:rStyle w:val="Vnculodendice"/>
                <w:b/>
                <w:bCs/>
                <w:webHidden/>
              </w:rPr>
              <w:t>1.4 Histórico de Implantação e Desenvolvimento</w:t>
            </w:r>
            <w:r>
              <w:rPr>
                <w:webHidden/>
              </w:rPr>
              <w:fldChar w:fldCharType="begin"/>
            </w:r>
            <w:r>
              <w:rPr>
                <w:webHidden/>
              </w:rPr>
              <w:instrText>PAGEREF _Toc474391160 \h</w:instrText>
            </w:r>
            <w:r>
              <w:rPr>
                <w:webHidden/>
              </w:rPr>
            </w:r>
            <w:r>
              <w:rPr>
                <w:webHidden/>
              </w:rPr>
              <w:fldChar w:fldCharType="separate"/>
            </w:r>
            <w:r>
              <w:rPr>
                <w:noProof/>
                <w:webHidden/>
              </w:rPr>
              <w:t>7</w:t>
            </w:r>
            <w:r>
              <w:rPr>
                <w:webHidden/>
              </w:rPr>
              <w:fldChar w:fldCharType="end"/>
            </w:r>
          </w:hyperlink>
        </w:p>
        <w:p w:rsidR="00762C45" w:rsidRDefault="00303B66">
          <w:pPr>
            <w:pStyle w:val="Sumrio2"/>
            <w:rPr>
              <w:rFonts w:asciiTheme="minorHAnsi" w:hAnsiTheme="minorHAnsi" w:cstheme="minorBidi"/>
              <w:sz w:val="22"/>
              <w:szCs w:val="22"/>
            </w:rPr>
          </w:pPr>
          <w:hyperlink w:anchor="_Toc474391161">
            <w:r>
              <w:rPr>
                <w:rStyle w:val="Vnculodendice"/>
                <w:b/>
                <w:bCs/>
                <w:webHidden/>
              </w:rPr>
              <w:t xml:space="preserve">1.5 Objetivos e Metas do </w:t>
            </w:r>
            <w:r>
              <w:rPr>
                <w:rStyle w:val="Vnculodendice"/>
                <w:b/>
                <w:bCs/>
                <w:i/>
              </w:rPr>
              <w:t>Campus</w:t>
            </w:r>
            <w:r>
              <w:rPr>
                <w:rStyle w:val="Vnculodendice"/>
                <w:b/>
                <w:bCs/>
              </w:rPr>
              <w:t xml:space="preserve"> Avançado Vigia</w:t>
            </w:r>
            <w:r>
              <w:rPr>
                <w:webHidden/>
              </w:rPr>
              <w:fldChar w:fldCharType="begin"/>
            </w:r>
            <w:r>
              <w:rPr>
                <w:webHidden/>
              </w:rPr>
              <w:instrText>PAGEREF _Toc474391161 \h</w:instrText>
            </w:r>
            <w:r>
              <w:rPr>
                <w:webHidden/>
              </w:rPr>
            </w:r>
            <w:r>
              <w:rPr>
                <w:webHidden/>
              </w:rPr>
              <w:fldChar w:fldCharType="separate"/>
            </w:r>
            <w:r>
              <w:rPr>
                <w:noProof/>
                <w:webHidden/>
              </w:rPr>
              <w:t>8</w:t>
            </w:r>
            <w:r>
              <w:rPr>
                <w:webHidden/>
              </w:rPr>
              <w:fldChar w:fldCharType="end"/>
            </w:r>
          </w:hyperlink>
        </w:p>
        <w:p w:rsidR="00762C45" w:rsidRDefault="00303B66">
          <w:pPr>
            <w:pStyle w:val="Sumrio1"/>
            <w:tabs>
              <w:tab w:val="right" w:leader="dot" w:pos="9736"/>
            </w:tabs>
            <w:rPr>
              <w:rFonts w:asciiTheme="minorHAnsi" w:hAnsiTheme="minorHAnsi" w:cstheme="minorBidi"/>
              <w:sz w:val="22"/>
              <w:szCs w:val="22"/>
            </w:rPr>
          </w:pPr>
          <w:hyperlink w:anchor="_Toc474391162">
            <w:r>
              <w:rPr>
                <w:rStyle w:val="Vnculodendice"/>
                <w:b/>
                <w:bCs/>
                <w:webHidden/>
              </w:rPr>
              <w:t>2. AVALIAÇÃO INSTITUCIONAL</w:t>
            </w:r>
            <w:r>
              <w:rPr>
                <w:webHidden/>
              </w:rPr>
              <w:fldChar w:fldCharType="begin"/>
            </w:r>
            <w:r>
              <w:rPr>
                <w:webHidden/>
              </w:rPr>
              <w:instrText>PAGEREF _Toc474391162 \h</w:instrText>
            </w:r>
            <w:r>
              <w:rPr>
                <w:webHidden/>
              </w:rPr>
            </w:r>
            <w:r>
              <w:rPr>
                <w:webHidden/>
              </w:rPr>
              <w:fldChar w:fldCharType="separate"/>
            </w:r>
            <w:r>
              <w:rPr>
                <w:noProof/>
                <w:webHidden/>
              </w:rPr>
              <w:t>17</w:t>
            </w:r>
            <w:r>
              <w:rPr>
                <w:webHidden/>
              </w:rPr>
              <w:fldChar w:fldCharType="end"/>
            </w:r>
          </w:hyperlink>
        </w:p>
        <w:p w:rsidR="00762C45" w:rsidRDefault="00303B66">
          <w:pPr>
            <w:pStyle w:val="Sumrio2"/>
            <w:rPr>
              <w:rFonts w:asciiTheme="minorHAnsi" w:hAnsiTheme="minorHAnsi" w:cstheme="minorBidi"/>
              <w:sz w:val="22"/>
              <w:szCs w:val="22"/>
            </w:rPr>
          </w:pPr>
          <w:hyperlink w:anchor="_Toc474391163">
            <w:r>
              <w:rPr>
                <w:rStyle w:val="Vnculodendice"/>
                <w:b/>
                <w:webHidden/>
              </w:rPr>
              <w:t>2.1 Processo Avaliativo Interno</w:t>
            </w:r>
            <w:r>
              <w:rPr>
                <w:webHidden/>
              </w:rPr>
              <w:fldChar w:fldCharType="begin"/>
            </w:r>
            <w:r>
              <w:rPr>
                <w:webHidden/>
              </w:rPr>
              <w:instrText>PAGEREF _Toc474391163 \h</w:instrText>
            </w:r>
            <w:r>
              <w:rPr>
                <w:webHidden/>
              </w:rPr>
            </w:r>
            <w:r>
              <w:rPr>
                <w:webHidden/>
              </w:rPr>
              <w:fldChar w:fldCharType="separate"/>
            </w:r>
            <w:r>
              <w:rPr>
                <w:noProof/>
                <w:webHidden/>
              </w:rPr>
              <w:t>17</w:t>
            </w:r>
            <w:r>
              <w:rPr>
                <w:webHidden/>
              </w:rPr>
              <w:fldChar w:fldCharType="end"/>
            </w:r>
          </w:hyperlink>
        </w:p>
        <w:p w:rsidR="00762C45" w:rsidRDefault="00303B66">
          <w:pPr>
            <w:pStyle w:val="Sumrio2"/>
            <w:rPr>
              <w:rFonts w:asciiTheme="minorHAnsi" w:hAnsiTheme="minorHAnsi" w:cstheme="minorBidi"/>
              <w:sz w:val="22"/>
              <w:szCs w:val="22"/>
            </w:rPr>
          </w:pPr>
          <w:hyperlink w:anchor="_Toc474391164">
            <w:r>
              <w:rPr>
                <w:rStyle w:val="Vnculodendice"/>
                <w:b/>
                <w:webHidden/>
              </w:rPr>
              <w:t>2.2 Processo de Autoavaliação Institucional</w:t>
            </w:r>
            <w:r>
              <w:rPr>
                <w:webHidden/>
              </w:rPr>
              <w:fldChar w:fldCharType="begin"/>
            </w:r>
            <w:r>
              <w:rPr>
                <w:webHidden/>
              </w:rPr>
              <w:instrText>PAGEREF _Toc474391164 \h</w:instrText>
            </w:r>
            <w:r>
              <w:rPr>
                <w:webHidden/>
              </w:rPr>
            </w:r>
            <w:r>
              <w:rPr>
                <w:webHidden/>
              </w:rPr>
              <w:fldChar w:fldCharType="separate"/>
            </w:r>
            <w:r>
              <w:rPr>
                <w:noProof/>
                <w:webHidden/>
              </w:rPr>
              <w:t>17</w:t>
            </w:r>
            <w:r>
              <w:rPr>
                <w:webHidden/>
              </w:rPr>
              <w:fldChar w:fldCharType="end"/>
            </w:r>
          </w:hyperlink>
        </w:p>
        <w:p w:rsidR="00762C45" w:rsidRDefault="00303B66">
          <w:pPr>
            <w:pStyle w:val="Sumrio3"/>
            <w:rPr>
              <w:rFonts w:asciiTheme="minorHAnsi" w:hAnsiTheme="minorHAnsi" w:cstheme="minorBidi"/>
              <w:sz w:val="22"/>
              <w:szCs w:val="22"/>
            </w:rPr>
          </w:pPr>
          <w:hyperlink w:anchor="_Toc474391165">
            <w:r>
              <w:rPr>
                <w:webHidden/>
              </w:rPr>
              <w:fldChar w:fldCharType="begin"/>
            </w:r>
            <w:r>
              <w:rPr>
                <w:webHidden/>
              </w:rPr>
              <w:instrText>PAGEREF _Toc474391165 \h</w:instrText>
            </w:r>
            <w:r>
              <w:rPr>
                <w:webHidden/>
              </w:rPr>
            </w:r>
            <w:r>
              <w:rPr>
                <w:webHidden/>
              </w:rPr>
              <w:fldChar w:fldCharType="separate"/>
            </w:r>
            <w:r>
              <w:rPr>
                <w:noProof/>
                <w:webHidden/>
              </w:rPr>
              <w:t>18</w:t>
            </w:r>
            <w:r>
              <w:rPr>
                <w:webHidden/>
              </w:rPr>
              <w:fldChar w:fldCharType="end"/>
            </w:r>
          </w:hyperlink>
        </w:p>
        <w:p w:rsidR="00762C45" w:rsidRDefault="00303B66">
          <w:pPr>
            <w:pStyle w:val="Sumrio3"/>
            <w:rPr>
              <w:rFonts w:asciiTheme="minorHAnsi" w:hAnsiTheme="minorHAnsi" w:cstheme="minorBidi"/>
              <w:sz w:val="22"/>
              <w:szCs w:val="22"/>
            </w:rPr>
          </w:pPr>
          <w:hyperlink w:anchor="_Toc474391166">
            <w:r>
              <w:rPr>
                <w:webHidden/>
              </w:rPr>
              <w:fldChar w:fldCharType="begin"/>
            </w:r>
            <w:r>
              <w:rPr>
                <w:webHidden/>
              </w:rPr>
              <w:instrText>PAGEREF _Toc474391166 \h</w:instrText>
            </w:r>
            <w:r>
              <w:rPr>
                <w:webHidden/>
              </w:rPr>
            </w:r>
            <w:r>
              <w:rPr>
                <w:webHidden/>
              </w:rPr>
              <w:fldChar w:fldCharType="separate"/>
            </w:r>
            <w:r>
              <w:rPr>
                <w:noProof/>
                <w:webHidden/>
              </w:rPr>
              <w:t>18</w:t>
            </w:r>
            <w:r>
              <w:rPr>
                <w:webHidden/>
              </w:rPr>
              <w:fldChar w:fldCharType="end"/>
            </w:r>
          </w:hyperlink>
        </w:p>
        <w:p w:rsidR="00762C45" w:rsidRDefault="00303B66">
          <w:pPr>
            <w:pStyle w:val="Sumrio3"/>
            <w:rPr>
              <w:rFonts w:asciiTheme="minorHAnsi" w:hAnsiTheme="minorHAnsi" w:cstheme="minorBidi"/>
              <w:sz w:val="22"/>
              <w:szCs w:val="22"/>
            </w:rPr>
          </w:pPr>
          <w:hyperlink w:anchor="_Toc474391167">
            <w:r>
              <w:rPr>
                <w:webHidden/>
              </w:rPr>
              <w:fldChar w:fldCharType="begin"/>
            </w:r>
            <w:r>
              <w:rPr>
                <w:webHidden/>
              </w:rPr>
              <w:instrText>PAGEREF _Toc474391167 \h</w:instrText>
            </w:r>
            <w:r>
              <w:rPr>
                <w:webHidden/>
              </w:rPr>
            </w:r>
            <w:r>
              <w:rPr>
                <w:webHidden/>
              </w:rPr>
              <w:fldChar w:fldCharType="separate"/>
            </w:r>
            <w:r>
              <w:rPr>
                <w:noProof/>
                <w:webHidden/>
              </w:rPr>
              <w:t>19</w:t>
            </w:r>
            <w:r>
              <w:rPr>
                <w:webHidden/>
              </w:rPr>
              <w:fldChar w:fldCharType="end"/>
            </w:r>
          </w:hyperlink>
        </w:p>
        <w:p w:rsidR="00762C45" w:rsidRDefault="00303B66">
          <w:pPr>
            <w:pStyle w:val="Sumrio3"/>
            <w:rPr>
              <w:rFonts w:asciiTheme="minorHAnsi" w:hAnsiTheme="minorHAnsi" w:cstheme="minorBidi"/>
              <w:sz w:val="22"/>
              <w:szCs w:val="22"/>
            </w:rPr>
          </w:pPr>
          <w:hyperlink w:anchor="_Toc474391168">
            <w:r>
              <w:rPr>
                <w:webHidden/>
              </w:rPr>
              <w:fldChar w:fldCharType="begin"/>
            </w:r>
            <w:r>
              <w:rPr>
                <w:webHidden/>
              </w:rPr>
              <w:instrText>PAGEREF _Toc474391168 \h</w:instrText>
            </w:r>
            <w:r>
              <w:rPr>
                <w:webHidden/>
              </w:rPr>
            </w:r>
            <w:r>
              <w:rPr>
                <w:webHidden/>
              </w:rPr>
              <w:fldChar w:fldCharType="separate"/>
            </w:r>
            <w:r>
              <w:rPr>
                <w:noProof/>
                <w:webHidden/>
              </w:rPr>
              <w:t>20</w:t>
            </w:r>
            <w:r>
              <w:rPr>
                <w:webHidden/>
              </w:rPr>
              <w:fldChar w:fldCharType="end"/>
            </w:r>
          </w:hyperlink>
        </w:p>
        <w:p w:rsidR="00762C45" w:rsidRDefault="00303B66">
          <w:pPr>
            <w:pStyle w:val="Sumrio3"/>
            <w:rPr>
              <w:rFonts w:asciiTheme="minorHAnsi" w:hAnsiTheme="minorHAnsi" w:cstheme="minorBidi"/>
              <w:sz w:val="22"/>
              <w:szCs w:val="22"/>
            </w:rPr>
          </w:pPr>
          <w:hyperlink w:anchor="_Toc474391169">
            <w:r>
              <w:rPr>
                <w:webHidden/>
              </w:rPr>
              <w:fldChar w:fldCharType="begin"/>
            </w:r>
            <w:r>
              <w:rPr>
                <w:webHidden/>
              </w:rPr>
              <w:instrText>PAGEREF _Toc474391169 \h</w:instrText>
            </w:r>
            <w:r>
              <w:rPr>
                <w:webHidden/>
              </w:rPr>
            </w:r>
            <w:r>
              <w:rPr>
                <w:webHidden/>
              </w:rPr>
              <w:fldChar w:fldCharType="separate"/>
            </w:r>
            <w:r>
              <w:rPr>
                <w:noProof/>
                <w:webHidden/>
              </w:rPr>
              <w:t>20</w:t>
            </w:r>
            <w:r>
              <w:rPr>
                <w:webHidden/>
              </w:rPr>
              <w:fldChar w:fldCharType="end"/>
            </w:r>
          </w:hyperlink>
        </w:p>
        <w:p w:rsidR="00762C45" w:rsidRDefault="00303B66">
          <w:pPr>
            <w:pStyle w:val="Sumrio3"/>
            <w:rPr>
              <w:rFonts w:asciiTheme="minorHAnsi" w:hAnsiTheme="minorHAnsi" w:cstheme="minorBidi"/>
              <w:sz w:val="22"/>
              <w:szCs w:val="22"/>
            </w:rPr>
          </w:pPr>
          <w:hyperlink w:anchor="_Toc474391170">
            <w:r>
              <w:rPr>
                <w:webHidden/>
              </w:rPr>
              <w:fldChar w:fldCharType="begin"/>
            </w:r>
            <w:r>
              <w:rPr>
                <w:webHidden/>
              </w:rPr>
              <w:instrText>PAGEREF _Toc474391170 \h</w:instrText>
            </w:r>
            <w:r>
              <w:rPr>
                <w:webHidden/>
              </w:rPr>
            </w:r>
            <w:r>
              <w:rPr>
                <w:webHidden/>
              </w:rPr>
              <w:fldChar w:fldCharType="separate"/>
            </w:r>
            <w:r>
              <w:rPr>
                <w:noProof/>
                <w:webHidden/>
              </w:rPr>
              <w:t>20</w:t>
            </w:r>
            <w:r>
              <w:rPr>
                <w:webHidden/>
              </w:rPr>
              <w:fldChar w:fldCharType="end"/>
            </w:r>
          </w:hyperlink>
        </w:p>
        <w:p w:rsidR="00762C45" w:rsidRDefault="00303B66">
          <w:pPr>
            <w:pStyle w:val="Sumrio3"/>
            <w:rPr>
              <w:rFonts w:asciiTheme="minorHAnsi" w:hAnsiTheme="minorHAnsi" w:cstheme="minorBidi"/>
              <w:sz w:val="22"/>
              <w:szCs w:val="22"/>
            </w:rPr>
          </w:pPr>
          <w:hyperlink w:anchor="_Toc474391171">
            <w:r>
              <w:rPr>
                <w:webHidden/>
              </w:rPr>
              <w:fldChar w:fldCharType="begin"/>
            </w:r>
            <w:r>
              <w:rPr>
                <w:webHidden/>
              </w:rPr>
              <w:instrText>PAGEREF _Toc474391171 \h</w:instrText>
            </w:r>
            <w:r>
              <w:rPr>
                <w:webHidden/>
              </w:rPr>
            </w:r>
            <w:r>
              <w:rPr>
                <w:webHidden/>
              </w:rPr>
              <w:fldChar w:fldCharType="separate"/>
            </w:r>
            <w:r>
              <w:rPr>
                <w:noProof/>
                <w:webHidden/>
              </w:rPr>
              <w:t>20</w:t>
            </w:r>
            <w:r>
              <w:rPr>
                <w:webHidden/>
              </w:rPr>
              <w:fldChar w:fldCharType="end"/>
            </w:r>
          </w:hyperlink>
        </w:p>
        <w:p w:rsidR="00762C45" w:rsidRDefault="00303B66">
          <w:pPr>
            <w:pStyle w:val="Sumrio1"/>
            <w:tabs>
              <w:tab w:val="right" w:leader="dot" w:pos="9736"/>
            </w:tabs>
            <w:rPr>
              <w:rFonts w:asciiTheme="minorHAnsi" w:hAnsiTheme="minorHAnsi" w:cstheme="minorBidi"/>
              <w:sz w:val="22"/>
              <w:szCs w:val="22"/>
            </w:rPr>
          </w:pPr>
          <w:hyperlink w:anchor="_Toc474391172">
            <w:r>
              <w:rPr>
                <w:rStyle w:val="Vnculodendice"/>
                <w:b/>
                <w:bCs/>
                <w:webHidden/>
              </w:rPr>
              <w:t>3. POLÍTICAS ACADÊMICAS</w:t>
            </w:r>
            <w:r>
              <w:rPr>
                <w:webHidden/>
              </w:rPr>
              <w:fldChar w:fldCharType="begin"/>
            </w:r>
            <w:r>
              <w:rPr>
                <w:webHidden/>
              </w:rPr>
              <w:instrText>PAGEREF _Toc474391172 \h</w:instrText>
            </w:r>
            <w:r>
              <w:rPr>
                <w:webHidden/>
              </w:rPr>
            </w:r>
            <w:r>
              <w:rPr>
                <w:webHidden/>
              </w:rPr>
              <w:fldChar w:fldCharType="separate"/>
            </w:r>
            <w:r>
              <w:rPr>
                <w:noProof/>
                <w:webHidden/>
              </w:rPr>
              <w:t>21</w:t>
            </w:r>
            <w:r>
              <w:rPr>
                <w:webHidden/>
              </w:rPr>
              <w:fldChar w:fldCharType="end"/>
            </w:r>
          </w:hyperlink>
        </w:p>
        <w:p w:rsidR="00762C45" w:rsidRDefault="00303B66">
          <w:pPr>
            <w:pStyle w:val="Sumrio2"/>
            <w:rPr>
              <w:rFonts w:asciiTheme="minorHAnsi" w:hAnsiTheme="minorHAnsi" w:cstheme="minorBidi"/>
              <w:sz w:val="22"/>
              <w:szCs w:val="22"/>
            </w:rPr>
          </w:pPr>
          <w:hyperlink w:anchor="_Toc474391173">
            <w:r>
              <w:rPr>
                <w:rStyle w:val="Vnculodendice"/>
                <w:b/>
                <w:webHidden/>
              </w:rPr>
              <w:t>3.1 Políticas de Ensino e Ações Acadêmico-Administrativas para os Cursos de Educação Básica e Profissional</w:t>
            </w:r>
            <w:r>
              <w:rPr>
                <w:webHidden/>
              </w:rPr>
              <w:fldChar w:fldCharType="begin"/>
            </w:r>
            <w:r>
              <w:rPr>
                <w:webHidden/>
              </w:rPr>
              <w:instrText>PAGEREF _Toc474391173 \h</w:instrText>
            </w:r>
            <w:r>
              <w:rPr>
                <w:webHidden/>
              </w:rPr>
            </w:r>
            <w:r>
              <w:rPr>
                <w:webHidden/>
              </w:rPr>
              <w:fldChar w:fldCharType="separate"/>
            </w:r>
            <w:r>
              <w:rPr>
                <w:noProof/>
                <w:webHidden/>
              </w:rPr>
              <w:t>21</w:t>
            </w:r>
            <w:r>
              <w:rPr>
                <w:webHidden/>
              </w:rPr>
              <w:fldChar w:fldCharType="end"/>
            </w:r>
          </w:hyperlink>
        </w:p>
        <w:p w:rsidR="00762C45" w:rsidRDefault="00303B66">
          <w:pPr>
            <w:pStyle w:val="Sumrio2"/>
            <w:rPr>
              <w:rFonts w:asciiTheme="minorHAnsi" w:hAnsiTheme="minorHAnsi" w:cstheme="minorBidi"/>
              <w:sz w:val="22"/>
              <w:szCs w:val="22"/>
            </w:rPr>
          </w:pPr>
          <w:hyperlink w:anchor="_Toc474391174">
            <w:r>
              <w:rPr>
                <w:rStyle w:val="Vnculodendice"/>
                <w:b/>
                <w:webHidden/>
              </w:rPr>
              <w:t>3.2 Políticas de Ensino e Ações Acadêmico-administrativas para os Cursos de Graduação..................</w:t>
            </w:r>
            <w:r>
              <w:rPr>
                <w:rStyle w:val="Vnculodendice"/>
                <w:b/>
                <w:webHidden/>
              </w:rPr>
              <w:tab/>
              <w:t>...............</w:t>
            </w:r>
            <w:r>
              <w:rPr>
                <w:rStyle w:val="Vnculodendice"/>
                <w:b/>
                <w:webHidden/>
              </w:rPr>
              <w:tab/>
              <w:t>...</w:t>
            </w:r>
            <w:r>
              <w:rPr>
                <w:webHidden/>
              </w:rPr>
              <w:fldChar w:fldCharType="begin"/>
            </w:r>
            <w:r>
              <w:rPr>
                <w:webHidden/>
              </w:rPr>
              <w:instrText>PAGEREF _Toc474391174 \h</w:instrText>
            </w:r>
            <w:r>
              <w:rPr>
                <w:webHidden/>
              </w:rPr>
            </w:r>
            <w:r>
              <w:rPr>
                <w:webHidden/>
              </w:rPr>
              <w:fldChar w:fldCharType="separate"/>
            </w:r>
            <w:r>
              <w:rPr>
                <w:noProof/>
                <w:webHidden/>
              </w:rPr>
              <w:t>24</w:t>
            </w:r>
            <w:r>
              <w:rPr>
                <w:webHidden/>
              </w:rPr>
              <w:fldChar w:fldCharType="end"/>
            </w:r>
          </w:hyperlink>
        </w:p>
        <w:p w:rsidR="00762C45" w:rsidRDefault="00303B66">
          <w:pPr>
            <w:pStyle w:val="Sumrio3"/>
            <w:rPr>
              <w:rFonts w:asciiTheme="minorHAnsi" w:hAnsiTheme="minorHAnsi" w:cstheme="minorBidi"/>
              <w:sz w:val="22"/>
              <w:szCs w:val="22"/>
            </w:rPr>
          </w:pPr>
          <w:hyperlink w:anchor="_Toc474391175">
            <w:r>
              <w:rPr>
                <w:rStyle w:val="Vnculodendice"/>
                <w:bCs/>
                <w:webHidden/>
              </w:rPr>
              <w:t>3.2.1 Sistemática de atualização curricular</w:t>
            </w:r>
            <w:r>
              <w:rPr>
                <w:webHidden/>
              </w:rPr>
              <w:fldChar w:fldCharType="begin"/>
            </w:r>
            <w:r>
              <w:rPr>
                <w:webHidden/>
              </w:rPr>
              <w:instrText>PAGEREF _Toc474391175 \h</w:instrText>
            </w:r>
            <w:r>
              <w:rPr>
                <w:webHidden/>
              </w:rPr>
            </w:r>
            <w:r>
              <w:rPr>
                <w:webHidden/>
              </w:rPr>
              <w:fldChar w:fldCharType="separate"/>
            </w:r>
            <w:r>
              <w:rPr>
                <w:noProof/>
                <w:webHidden/>
              </w:rPr>
              <w:t>25</w:t>
            </w:r>
            <w:r>
              <w:rPr>
                <w:webHidden/>
              </w:rPr>
              <w:fldChar w:fldCharType="end"/>
            </w:r>
          </w:hyperlink>
        </w:p>
        <w:p w:rsidR="00762C45" w:rsidRDefault="00303B66">
          <w:pPr>
            <w:pStyle w:val="Sumrio3"/>
            <w:rPr>
              <w:rFonts w:asciiTheme="minorHAnsi" w:hAnsiTheme="minorHAnsi" w:cstheme="minorBidi"/>
              <w:sz w:val="22"/>
              <w:szCs w:val="22"/>
            </w:rPr>
          </w:pPr>
          <w:hyperlink w:anchor="_Toc474391176">
            <w:r>
              <w:rPr>
                <w:rStyle w:val="Vnculodendice"/>
                <w:bCs/>
                <w:webHidden/>
              </w:rPr>
              <w:t>3.2.2 Desenvolvimento/utilização de material didático-pedagógico</w:t>
            </w:r>
            <w:r>
              <w:rPr>
                <w:webHidden/>
              </w:rPr>
              <w:fldChar w:fldCharType="begin"/>
            </w:r>
            <w:r>
              <w:rPr>
                <w:webHidden/>
              </w:rPr>
              <w:instrText>PAGEREF _Toc474391176 \h</w:instrText>
            </w:r>
            <w:r>
              <w:rPr>
                <w:webHidden/>
              </w:rPr>
            </w:r>
            <w:r>
              <w:rPr>
                <w:webHidden/>
              </w:rPr>
              <w:fldChar w:fldCharType="separate"/>
            </w:r>
            <w:r>
              <w:rPr>
                <w:noProof/>
                <w:webHidden/>
              </w:rPr>
              <w:t>25</w:t>
            </w:r>
            <w:r>
              <w:rPr>
                <w:webHidden/>
              </w:rPr>
              <w:fldChar w:fldCharType="end"/>
            </w:r>
          </w:hyperlink>
        </w:p>
        <w:p w:rsidR="00762C45" w:rsidRDefault="00303B66">
          <w:pPr>
            <w:pStyle w:val="Sumrio3"/>
            <w:rPr>
              <w:rFonts w:asciiTheme="minorHAnsi" w:hAnsiTheme="minorHAnsi" w:cstheme="minorBidi"/>
              <w:sz w:val="22"/>
              <w:szCs w:val="22"/>
            </w:rPr>
          </w:pPr>
          <w:hyperlink w:anchor="_Toc474391177">
            <w:r>
              <w:rPr>
                <w:webHidden/>
              </w:rPr>
              <w:fldChar w:fldCharType="begin"/>
            </w:r>
            <w:r>
              <w:rPr>
                <w:webHidden/>
              </w:rPr>
              <w:instrText>PAGEREF _Toc474391177 \h</w:instrText>
            </w:r>
            <w:r>
              <w:rPr>
                <w:webHidden/>
              </w:rPr>
            </w:r>
            <w:r>
              <w:rPr>
                <w:webHidden/>
              </w:rPr>
              <w:fldChar w:fldCharType="separate"/>
            </w:r>
            <w:r>
              <w:rPr>
                <w:noProof/>
                <w:webHidden/>
              </w:rPr>
              <w:t>26</w:t>
            </w:r>
            <w:r>
              <w:rPr>
                <w:webHidden/>
              </w:rPr>
              <w:fldChar w:fldCharType="end"/>
            </w:r>
          </w:hyperlink>
        </w:p>
        <w:p w:rsidR="00762C45" w:rsidRDefault="00303B66">
          <w:pPr>
            <w:pStyle w:val="Sumrio3"/>
            <w:rPr>
              <w:rFonts w:asciiTheme="minorHAnsi" w:hAnsiTheme="minorHAnsi" w:cstheme="minorBidi"/>
              <w:sz w:val="22"/>
              <w:szCs w:val="22"/>
            </w:rPr>
          </w:pPr>
          <w:hyperlink w:anchor="_Toc474391178">
            <w:r>
              <w:rPr>
                <w:webHidden/>
              </w:rPr>
              <w:fldChar w:fldCharType="begin"/>
            </w:r>
            <w:r>
              <w:rPr>
                <w:webHidden/>
              </w:rPr>
              <w:instrText>PAGEREF _Toc474391178 \h</w:instrText>
            </w:r>
            <w:r>
              <w:rPr>
                <w:webHidden/>
              </w:rPr>
            </w:r>
            <w:r>
              <w:rPr>
                <w:webHidden/>
              </w:rPr>
              <w:fldChar w:fldCharType="separate"/>
            </w:r>
            <w:r>
              <w:rPr>
                <w:noProof/>
                <w:webHidden/>
              </w:rPr>
              <w:t>26</w:t>
            </w:r>
            <w:r>
              <w:rPr>
                <w:webHidden/>
              </w:rPr>
              <w:fldChar w:fldCharType="end"/>
            </w:r>
          </w:hyperlink>
        </w:p>
        <w:p w:rsidR="00762C45" w:rsidRDefault="00303B66">
          <w:pPr>
            <w:pStyle w:val="Sumrio2"/>
            <w:rPr>
              <w:rFonts w:asciiTheme="minorHAnsi" w:hAnsiTheme="minorHAnsi" w:cstheme="minorBidi"/>
              <w:sz w:val="22"/>
              <w:szCs w:val="22"/>
            </w:rPr>
          </w:pPr>
          <w:hyperlink w:anchor="_Toc474391179">
            <w:r>
              <w:rPr>
                <w:rStyle w:val="Vnculodendice"/>
                <w:webHidden/>
              </w:rPr>
              <w:t>3.3. Políticas de Ensino e Ações Acadêmico-Administrativas para os Cursos de Pós-</w:t>
            </w:r>
            <w:r>
              <w:rPr>
                <w:rStyle w:val="Vnculodendice"/>
                <w:rFonts w:eastAsiaTheme="majorEastAsia"/>
              </w:rPr>
              <w:t>Graduação s</w:t>
            </w:r>
            <w:r>
              <w:rPr>
                <w:rStyle w:val="Vnculodendice"/>
                <w:rFonts w:eastAsiaTheme="majorEastAsia"/>
                <w:i/>
              </w:rPr>
              <w:t>tricto sensu</w:t>
            </w:r>
            <w:r>
              <w:rPr>
                <w:webHidden/>
              </w:rPr>
              <w:fldChar w:fldCharType="begin"/>
            </w:r>
            <w:r>
              <w:rPr>
                <w:webHidden/>
              </w:rPr>
              <w:instrText>PAGEREF _Toc474391179 \h</w:instrText>
            </w:r>
            <w:r>
              <w:rPr>
                <w:webHidden/>
              </w:rPr>
            </w:r>
            <w:r>
              <w:rPr>
                <w:webHidden/>
              </w:rPr>
              <w:fldChar w:fldCharType="separate"/>
            </w:r>
            <w:r>
              <w:rPr>
                <w:noProof/>
                <w:webHidden/>
              </w:rPr>
              <w:t>27</w:t>
            </w:r>
            <w:r>
              <w:rPr>
                <w:webHidden/>
              </w:rPr>
              <w:fldChar w:fldCharType="end"/>
            </w:r>
          </w:hyperlink>
        </w:p>
        <w:p w:rsidR="00762C45" w:rsidRDefault="00303B66">
          <w:pPr>
            <w:pStyle w:val="Sumrio2"/>
            <w:rPr>
              <w:rFonts w:asciiTheme="minorHAnsi" w:hAnsiTheme="minorHAnsi" w:cstheme="minorBidi"/>
              <w:sz w:val="22"/>
              <w:szCs w:val="22"/>
            </w:rPr>
          </w:pPr>
          <w:hyperlink w:anchor="_Toc474391180">
            <w:r>
              <w:rPr>
                <w:rStyle w:val="Vnculodendice"/>
                <w:webHidden/>
              </w:rPr>
              <w:t xml:space="preserve">3.4 Políticas de Ensino e Ações Acadêmico-Administrativas para os Cursos de Pós-Graduação </w:t>
            </w:r>
            <w:r>
              <w:rPr>
                <w:rStyle w:val="Vnculodendice"/>
                <w:i/>
                <w:iCs/>
              </w:rPr>
              <w:t>Lato Sensu</w:t>
            </w:r>
            <w:r>
              <w:rPr>
                <w:webHidden/>
              </w:rPr>
              <w:fldChar w:fldCharType="begin"/>
            </w:r>
            <w:r>
              <w:rPr>
                <w:webHidden/>
              </w:rPr>
              <w:instrText>PAGEREF _Toc474391180 \h</w:instrText>
            </w:r>
            <w:r>
              <w:rPr>
                <w:webHidden/>
              </w:rPr>
            </w:r>
            <w:r>
              <w:rPr>
                <w:webHidden/>
              </w:rPr>
              <w:fldChar w:fldCharType="separate"/>
            </w:r>
            <w:r>
              <w:rPr>
                <w:noProof/>
                <w:webHidden/>
              </w:rPr>
              <w:t>27</w:t>
            </w:r>
            <w:r>
              <w:rPr>
                <w:webHidden/>
              </w:rPr>
              <w:fldChar w:fldCharType="end"/>
            </w:r>
          </w:hyperlink>
        </w:p>
        <w:p w:rsidR="00762C45" w:rsidRDefault="00303B66">
          <w:pPr>
            <w:pStyle w:val="Sumrio2"/>
            <w:rPr>
              <w:rFonts w:asciiTheme="minorHAnsi" w:hAnsiTheme="minorHAnsi" w:cstheme="minorBidi"/>
              <w:sz w:val="22"/>
              <w:szCs w:val="22"/>
            </w:rPr>
          </w:pPr>
          <w:hyperlink w:anchor="_Toc474391182">
            <w:r>
              <w:rPr>
                <w:webHidden/>
              </w:rPr>
              <w:fldChar w:fldCharType="begin"/>
            </w:r>
            <w:r>
              <w:rPr>
                <w:webHidden/>
              </w:rPr>
              <w:instrText>PAGEREF _Toc474391182 \h</w:instrText>
            </w:r>
            <w:r>
              <w:rPr>
                <w:webHidden/>
              </w:rPr>
            </w:r>
            <w:r>
              <w:rPr>
                <w:webHidden/>
              </w:rPr>
              <w:fldChar w:fldCharType="separate"/>
            </w:r>
            <w:r>
              <w:rPr>
                <w:noProof/>
                <w:webHidden/>
              </w:rPr>
              <w:t>27</w:t>
            </w:r>
            <w:r>
              <w:rPr>
                <w:webHidden/>
              </w:rPr>
              <w:fldChar w:fldCharType="end"/>
            </w:r>
          </w:hyperlink>
        </w:p>
        <w:p w:rsidR="00762C45" w:rsidRDefault="00303B66">
          <w:pPr>
            <w:pStyle w:val="Sumrio2"/>
            <w:rPr>
              <w:rFonts w:asciiTheme="minorHAnsi" w:hAnsiTheme="minorHAnsi" w:cstheme="minorBidi"/>
              <w:sz w:val="22"/>
              <w:szCs w:val="22"/>
            </w:rPr>
          </w:pPr>
          <w:hyperlink w:anchor="_Toc474391183">
            <w:r>
              <w:rPr>
                <w:webHidden/>
              </w:rPr>
              <w:fldChar w:fldCharType="begin"/>
            </w:r>
            <w:r>
              <w:rPr>
                <w:webHidden/>
              </w:rPr>
              <w:instrText>PAGEREF _Toc474391183 \h</w:instrText>
            </w:r>
            <w:r>
              <w:rPr>
                <w:webHidden/>
              </w:rPr>
            </w:r>
            <w:r>
              <w:rPr>
                <w:webHidden/>
              </w:rPr>
              <w:fldChar w:fldCharType="separate"/>
            </w:r>
            <w:r>
              <w:rPr>
                <w:noProof/>
                <w:webHidden/>
              </w:rPr>
              <w:t>28</w:t>
            </w:r>
            <w:r>
              <w:rPr>
                <w:webHidden/>
              </w:rPr>
              <w:fldChar w:fldCharType="end"/>
            </w:r>
          </w:hyperlink>
        </w:p>
        <w:p w:rsidR="00762C45" w:rsidRDefault="00303B66">
          <w:pPr>
            <w:pStyle w:val="Sumrio2"/>
            <w:rPr>
              <w:rFonts w:asciiTheme="minorHAnsi" w:hAnsiTheme="minorHAnsi" w:cstheme="minorBidi"/>
              <w:sz w:val="22"/>
              <w:szCs w:val="22"/>
            </w:rPr>
          </w:pPr>
          <w:hyperlink w:anchor="_Toc474391184">
            <w:r>
              <w:rPr>
                <w:webHidden/>
              </w:rPr>
              <w:fldChar w:fldCharType="begin"/>
            </w:r>
            <w:r>
              <w:rPr>
                <w:webHidden/>
              </w:rPr>
              <w:instrText>PAGEREF _Toc474391184 \h</w:instrText>
            </w:r>
            <w:r>
              <w:rPr>
                <w:webHidden/>
              </w:rPr>
            </w:r>
            <w:r>
              <w:rPr>
                <w:webHidden/>
              </w:rPr>
              <w:fldChar w:fldCharType="separate"/>
            </w:r>
            <w:r>
              <w:rPr>
                <w:noProof/>
                <w:webHidden/>
              </w:rPr>
              <w:t>28</w:t>
            </w:r>
            <w:r>
              <w:rPr>
                <w:webHidden/>
              </w:rPr>
              <w:fldChar w:fldCharType="end"/>
            </w:r>
          </w:hyperlink>
        </w:p>
        <w:p w:rsidR="00762C45" w:rsidRDefault="00303B66">
          <w:pPr>
            <w:pStyle w:val="Sumrio2"/>
            <w:rPr>
              <w:rFonts w:asciiTheme="minorHAnsi" w:hAnsiTheme="minorHAnsi" w:cstheme="minorBidi"/>
              <w:sz w:val="22"/>
              <w:szCs w:val="22"/>
            </w:rPr>
          </w:pPr>
          <w:hyperlink w:anchor="_Toc474391185">
            <w:r>
              <w:rPr>
                <w:webHidden/>
              </w:rPr>
              <w:fldChar w:fldCharType="begin"/>
            </w:r>
            <w:r>
              <w:rPr>
                <w:webHidden/>
              </w:rPr>
              <w:instrText>PAGEREF _Toc474391185 \h</w:instrText>
            </w:r>
            <w:r>
              <w:rPr>
                <w:webHidden/>
              </w:rPr>
            </w:r>
            <w:r>
              <w:rPr>
                <w:webHidden/>
              </w:rPr>
              <w:fldChar w:fldCharType="separate"/>
            </w:r>
            <w:r>
              <w:rPr>
                <w:noProof/>
                <w:webHidden/>
              </w:rPr>
              <w:t>30</w:t>
            </w:r>
            <w:r>
              <w:rPr>
                <w:webHidden/>
              </w:rPr>
              <w:fldChar w:fldCharType="end"/>
            </w:r>
          </w:hyperlink>
        </w:p>
        <w:p w:rsidR="00762C45" w:rsidRDefault="00303B66">
          <w:pPr>
            <w:pStyle w:val="Sumrio2"/>
            <w:rPr>
              <w:rFonts w:asciiTheme="minorHAnsi" w:hAnsiTheme="minorHAnsi" w:cstheme="minorBidi"/>
              <w:sz w:val="22"/>
              <w:szCs w:val="22"/>
            </w:rPr>
          </w:pPr>
          <w:hyperlink w:anchor="_Toc474391186">
            <w:r>
              <w:rPr>
                <w:webHidden/>
              </w:rPr>
              <w:fldChar w:fldCharType="begin"/>
            </w:r>
            <w:r>
              <w:rPr>
                <w:webHidden/>
              </w:rPr>
              <w:instrText>PAGEREF _Toc474391186 \h</w:instrText>
            </w:r>
            <w:r>
              <w:rPr>
                <w:webHidden/>
              </w:rPr>
            </w:r>
            <w:r>
              <w:rPr>
                <w:webHidden/>
              </w:rPr>
              <w:fldChar w:fldCharType="separate"/>
            </w:r>
            <w:r>
              <w:rPr>
                <w:noProof/>
                <w:webHidden/>
              </w:rPr>
              <w:t>30</w:t>
            </w:r>
            <w:r>
              <w:rPr>
                <w:webHidden/>
              </w:rPr>
              <w:fldChar w:fldCharType="end"/>
            </w:r>
          </w:hyperlink>
        </w:p>
        <w:p w:rsidR="00762C45" w:rsidRDefault="00303B66">
          <w:pPr>
            <w:pStyle w:val="Sumrio2"/>
            <w:rPr>
              <w:rFonts w:asciiTheme="minorHAnsi" w:hAnsiTheme="minorHAnsi" w:cstheme="minorBidi"/>
              <w:sz w:val="22"/>
              <w:szCs w:val="22"/>
            </w:rPr>
          </w:pPr>
          <w:hyperlink w:anchor="_Toc474391187">
            <w:r>
              <w:rPr>
                <w:webHidden/>
              </w:rPr>
              <w:fldChar w:fldCharType="begin"/>
            </w:r>
            <w:r>
              <w:rPr>
                <w:webHidden/>
              </w:rPr>
              <w:instrText>PAGEREF _Toc474391187 \h</w:instrText>
            </w:r>
            <w:r>
              <w:rPr>
                <w:webHidden/>
              </w:rPr>
            </w:r>
            <w:r>
              <w:rPr>
                <w:webHidden/>
              </w:rPr>
              <w:fldChar w:fldCharType="separate"/>
            </w:r>
            <w:r>
              <w:rPr>
                <w:noProof/>
                <w:webHidden/>
              </w:rPr>
              <w:t>30</w:t>
            </w:r>
            <w:r>
              <w:rPr>
                <w:webHidden/>
              </w:rPr>
              <w:fldChar w:fldCharType="end"/>
            </w:r>
          </w:hyperlink>
        </w:p>
        <w:p w:rsidR="00762C45" w:rsidRDefault="00303B66">
          <w:pPr>
            <w:pStyle w:val="Sumrio2"/>
            <w:rPr>
              <w:rFonts w:asciiTheme="minorHAnsi" w:hAnsiTheme="minorHAnsi" w:cstheme="minorBidi"/>
              <w:sz w:val="22"/>
              <w:szCs w:val="22"/>
            </w:rPr>
          </w:pPr>
          <w:hyperlink w:anchor="_Toc474391188">
            <w:r>
              <w:rPr>
                <w:webHidden/>
              </w:rPr>
              <w:fldChar w:fldCharType="begin"/>
            </w:r>
            <w:r>
              <w:rPr>
                <w:webHidden/>
              </w:rPr>
              <w:instrText>PAGEREF _Toc474391188 \h</w:instrText>
            </w:r>
            <w:r>
              <w:rPr>
                <w:webHidden/>
              </w:rPr>
            </w:r>
            <w:r>
              <w:rPr>
                <w:webHidden/>
              </w:rPr>
              <w:fldChar w:fldCharType="separate"/>
            </w:r>
            <w:r>
              <w:rPr>
                <w:noProof/>
                <w:webHidden/>
              </w:rPr>
              <w:t>31</w:t>
            </w:r>
            <w:r>
              <w:rPr>
                <w:webHidden/>
              </w:rPr>
              <w:fldChar w:fldCharType="end"/>
            </w:r>
          </w:hyperlink>
        </w:p>
        <w:p w:rsidR="00762C45" w:rsidRDefault="00303B66">
          <w:pPr>
            <w:pStyle w:val="Sumrio3"/>
            <w:rPr>
              <w:rFonts w:asciiTheme="minorHAnsi" w:hAnsiTheme="minorHAnsi" w:cstheme="minorBidi"/>
              <w:sz w:val="22"/>
              <w:szCs w:val="22"/>
            </w:rPr>
          </w:pPr>
          <w:hyperlink w:anchor="_Toc474391189">
            <w:r>
              <w:rPr>
                <w:rStyle w:val="Vnculodendice"/>
                <w:webHidden/>
              </w:rPr>
              <w:t>3.11.1</w:t>
            </w:r>
            <w:r>
              <w:rPr>
                <w:rStyle w:val="Vnculodendice"/>
                <w:rFonts w:asciiTheme="minorHAnsi" w:hAnsiTheme="minorHAnsi" w:cstheme="minorBidi"/>
                <w:sz w:val="22"/>
                <w:szCs w:val="22"/>
              </w:rPr>
              <w:t xml:space="preserve"> </w:t>
            </w:r>
            <w:r>
              <w:rPr>
                <w:rStyle w:val="Vnculodendice"/>
              </w:rPr>
              <w:t>Apoio psicopedagógico............................................................................................................</w:t>
            </w:r>
            <w:r>
              <w:rPr>
                <w:webHidden/>
              </w:rPr>
              <w:fldChar w:fldCharType="begin"/>
            </w:r>
            <w:r>
              <w:rPr>
                <w:webHidden/>
              </w:rPr>
              <w:instrText>PAGEREF _Toc474391189 \h</w:instrText>
            </w:r>
            <w:r>
              <w:rPr>
                <w:webHidden/>
              </w:rPr>
            </w:r>
            <w:r>
              <w:rPr>
                <w:webHidden/>
              </w:rPr>
              <w:fldChar w:fldCharType="separate"/>
            </w:r>
            <w:r>
              <w:rPr>
                <w:noProof/>
                <w:webHidden/>
              </w:rPr>
              <w:t>31</w:t>
            </w:r>
            <w:r>
              <w:rPr>
                <w:webHidden/>
              </w:rPr>
              <w:fldChar w:fldCharType="end"/>
            </w:r>
          </w:hyperlink>
        </w:p>
        <w:p w:rsidR="00762C45" w:rsidRDefault="00303B66">
          <w:pPr>
            <w:pStyle w:val="Sumrio3"/>
            <w:rPr>
              <w:rFonts w:asciiTheme="minorHAnsi" w:hAnsiTheme="minorHAnsi" w:cstheme="minorBidi"/>
              <w:sz w:val="22"/>
              <w:szCs w:val="22"/>
            </w:rPr>
          </w:pPr>
          <w:hyperlink w:anchor="_Toc474391190">
            <w:r>
              <w:rPr>
                <w:rStyle w:val="Vnculodendice"/>
                <w:webHidden/>
              </w:rPr>
              <w:t>3.11.2</w:t>
            </w:r>
            <w:r>
              <w:rPr>
                <w:rStyle w:val="Vnculodendice"/>
                <w:rFonts w:asciiTheme="minorHAnsi" w:hAnsiTheme="minorHAnsi" w:cstheme="minorBidi"/>
                <w:sz w:val="22"/>
                <w:szCs w:val="22"/>
              </w:rPr>
              <w:tab/>
            </w:r>
            <w:r>
              <w:rPr>
                <w:rStyle w:val="Vnculodendice"/>
              </w:rPr>
              <w:t>Programas de acolhimento ao ingressante</w:t>
            </w:r>
            <w:r>
              <w:rPr>
                <w:webHidden/>
              </w:rPr>
              <w:fldChar w:fldCharType="begin"/>
            </w:r>
            <w:r>
              <w:rPr>
                <w:webHidden/>
              </w:rPr>
              <w:instrText>PAGEREF _Toc474391190 \h</w:instrText>
            </w:r>
            <w:r>
              <w:rPr>
                <w:webHidden/>
              </w:rPr>
            </w:r>
            <w:r>
              <w:rPr>
                <w:webHidden/>
              </w:rPr>
              <w:fldChar w:fldCharType="separate"/>
            </w:r>
            <w:r>
              <w:rPr>
                <w:noProof/>
                <w:webHidden/>
              </w:rPr>
              <w:t>31</w:t>
            </w:r>
            <w:r>
              <w:rPr>
                <w:webHidden/>
              </w:rPr>
              <w:fldChar w:fldCharType="end"/>
            </w:r>
          </w:hyperlink>
        </w:p>
        <w:p w:rsidR="00762C45" w:rsidRDefault="00303B66">
          <w:pPr>
            <w:pStyle w:val="Sumrio3"/>
            <w:rPr>
              <w:rFonts w:asciiTheme="minorHAnsi" w:hAnsiTheme="minorHAnsi" w:cstheme="minorBidi"/>
              <w:sz w:val="22"/>
              <w:szCs w:val="22"/>
            </w:rPr>
          </w:pPr>
          <w:hyperlink w:anchor="_Toc474391191">
            <w:r>
              <w:rPr>
                <w:webHidden/>
              </w:rPr>
              <w:fldChar w:fldCharType="begin"/>
            </w:r>
            <w:r>
              <w:rPr>
                <w:webHidden/>
              </w:rPr>
              <w:instrText>PAGEREF _Toc474391191 \h</w:instrText>
            </w:r>
            <w:r>
              <w:rPr>
                <w:webHidden/>
              </w:rPr>
            </w:r>
            <w:r>
              <w:rPr>
                <w:webHidden/>
              </w:rPr>
              <w:fldChar w:fldCharType="separate"/>
            </w:r>
            <w:r>
              <w:rPr>
                <w:noProof/>
                <w:webHidden/>
              </w:rPr>
              <w:t>31</w:t>
            </w:r>
            <w:r>
              <w:rPr>
                <w:webHidden/>
              </w:rPr>
              <w:fldChar w:fldCharType="end"/>
            </w:r>
          </w:hyperlink>
        </w:p>
        <w:p w:rsidR="00762C45" w:rsidRDefault="00303B66">
          <w:pPr>
            <w:pStyle w:val="Sumrio3"/>
            <w:rPr>
              <w:rFonts w:asciiTheme="minorHAnsi" w:hAnsiTheme="minorHAnsi" w:cstheme="minorBidi"/>
              <w:sz w:val="22"/>
              <w:szCs w:val="22"/>
            </w:rPr>
          </w:pPr>
          <w:hyperlink w:anchor="_Toc474391192">
            <w:r>
              <w:rPr>
                <w:rStyle w:val="Vnculodendice"/>
                <w:webHidden/>
              </w:rPr>
              <w:t>3.11.4</w:t>
            </w:r>
            <w:r>
              <w:rPr>
                <w:rStyle w:val="Vnculodendice"/>
                <w:rFonts w:asciiTheme="minorHAnsi" w:hAnsiTheme="minorHAnsi" w:cstheme="minorBidi"/>
                <w:sz w:val="22"/>
                <w:szCs w:val="22"/>
              </w:rPr>
              <w:tab/>
            </w:r>
            <w:r>
              <w:rPr>
                <w:rStyle w:val="Vnculodendice"/>
              </w:rPr>
              <w:t>Projeto/implementação do Núcleo de Apoio a Pessoa com Necessidades Especiais (NAPNE)</w:t>
            </w:r>
            <w:r>
              <w:rPr>
                <w:webHidden/>
              </w:rPr>
              <w:fldChar w:fldCharType="begin"/>
            </w:r>
            <w:r>
              <w:rPr>
                <w:webHidden/>
              </w:rPr>
              <w:instrText>PAGEREF _Toc474391192 \h</w:instrText>
            </w:r>
            <w:r>
              <w:rPr>
                <w:webHidden/>
              </w:rPr>
            </w:r>
            <w:r>
              <w:rPr>
                <w:webHidden/>
              </w:rPr>
              <w:fldChar w:fldCharType="separate"/>
            </w:r>
            <w:r>
              <w:rPr>
                <w:noProof/>
                <w:webHidden/>
              </w:rPr>
              <w:t>32</w:t>
            </w:r>
            <w:r>
              <w:rPr>
                <w:webHidden/>
              </w:rPr>
              <w:fldChar w:fldCharType="end"/>
            </w:r>
          </w:hyperlink>
        </w:p>
        <w:p w:rsidR="00762C45" w:rsidRDefault="00303B66">
          <w:pPr>
            <w:pStyle w:val="Sumrio3"/>
            <w:rPr>
              <w:rFonts w:asciiTheme="minorHAnsi" w:hAnsiTheme="minorHAnsi" w:cstheme="minorBidi"/>
              <w:sz w:val="22"/>
              <w:szCs w:val="22"/>
            </w:rPr>
          </w:pPr>
          <w:hyperlink w:anchor="_Toc474391193">
            <w:r>
              <w:rPr>
                <w:webHidden/>
              </w:rPr>
              <w:fldChar w:fldCharType="begin"/>
            </w:r>
            <w:r>
              <w:rPr>
                <w:webHidden/>
              </w:rPr>
              <w:instrText>PAGEREF _Toc474391193 \h</w:instrText>
            </w:r>
            <w:r>
              <w:rPr>
                <w:webHidden/>
              </w:rPr>
            </w:r>
            <w:r>
              <w:rPr>
                <w:webHidden/>
              </w:rPr>
              <w:fldChar w:fldCharType="separate"/>
            </w:r>
            <w:r>
              <w:rPr>
                <w:noProof/>
                <w:webHidden/>
              </w:rPr>
              <w:t>32</w:t>
            </w:r>
            <w:r>
              <w:rPr>
                <w:webHidden/>
              </w:rPr>
              <w:fldChar w:fldCharType="end"/>
            </w:r>
          </w:hyperlink>
        </w:p>
        <w:p w:rsidR="00762C45" w:rsidRDefault="00303B66">
          <w:pPr>
            <w:pStyle w:val="Sumrio3"/>
            <w:rPr>
              <w:rFonts w:asciiTheme="minorHAnsi" w:hAnsiTheme="minorHAnsi" w:cstheme="minorBidi"/>
              <w:sz w:val="22"/>
              <w:szCs w:val="22"/>
            </w:rPr>
          </w:pPr>
          <w:hyperlink w:anchor="_Toc474391194">
            <w:r>
              <w:rPr>
                <w:rStyle w:val="Vnculodendice"/>
                <w:webHidden/>
              </w:rPr>
              <w:t>3.11.5</w:t>
            </w:r>
            <w:r>
              <w:rPr>
                <w:rStyle w:val="Vnculodendice"/>
                <w:rFonts w:asciiTheme="minorHAnsi" w:hAnsiTheme="minorHAnsi" w:cstheme="minorBidi"/>
                <w:sz w:val="22"/>
                <w:szCs w:val="22"/>
              </w:rPr>
              <w:tab/>
            </w:r>
            <w:r>
              <w:rPr>
                <w:rStyle w:val="Vnculodendice"/>
              </w:rPr>
              <w:t>Projeto/implementação do Núcleo de Estudos Afrobrasileiro e Indígena (NEABI)</w:t>
            </w:r>
            <w:r>
              <w:rPr>
                <w:webHidden/>
              </w:rPr>
              <w:fldChar w:fldCharType="begin"/>
            </w:r>
            <w:r>
              <w:rPr>
                <w:webHidden/>
              </w:rPr>
              <w:instrText>PAGEREF _Toc474391194 \h</w:instrText>
            </w:r>
            <w:r>
              <w:rPr>
                <w:webHidden/>
              </w:rPr>
            </w:r>
            <w:r>
              <w:rPr>
                <w:webHidden/>
              </w:rPr>
              <w:fldChar w:fldCharType="separate"/>
            </w:r>
            <w:r>
              <w:rPr>
                <w:noProof/>
                <w:webHidden/>
              </w:rPr>
              <w:t>32</w:t>
            </w:r>
            <w:r>
              <w:rPr>
                <w:webHidden/>
              </w:rPr>
              <w:fldChar w:fldCharType="end"/>
            </w:r>
          </w:hyperlink>
        </w:p>
        <w:p w:rsidR="00762C45" w:rsidRDefault="00303B66">
          <w:pPr>
            <w:pStyle w:val="Sumrio3"/>
            <w:rPr>
              <w:rFonts w:asciiTheme="minorHAnsi" w:hAnsiTheme="minorHAnsi" w:cstheme="minorBidi"/>
              <w:sz w:val="22"/>
              <w:szCs w:val="22"/>
            </w:rPr>
          </w:pPr>
          <w:hyperlink w:anchor="_Toc474391195">
            <w:r>
              <w:rPr>
                <w:rStyle w:val="Vnculodendice"/>
                <w:webHidden/>
              </w:rPr>
              <w:t>3.11.6</w:t>
            </w:r>
            <w:r>
              <w:rPr>
                <w:rStyle w:val="Vnculodendice"/>
                <w:rFonts w:asciiTheme="minorHAnsi" w:hAnsiTheme="minorHAnsi" w:cstheme="minorBidi"/>
                <w:sz w:val="22"/>
                <w:szCs w:val="22"/>
              </w:rPr>
              <w:tab/>
            </w:r>
            <w:r>
              <w:rPr>
                <w:rStyle w:val="Vnculodendice"/>
              </w:rPr>
              <w:t>Políticas de Assistência Estudantil</w:t>
            </w:r>
            <w:r>
              <w:rPr>
                <w:webHidden/>
              </w:rPr>
              <w:fldChar w:fldCharType="begin"/>
            </w:r>
            <w:r>
              <w:rPr>
                <w:webHidden/>
              </w:rPr>
              <w:instrText>PAGEREF _Toc474391195 \h</w:instrText>
            </w:r>
            <w:r>
              <w:rPr>
                <w:webHidden/>
              </w:rPr>
            </w:r>
            <w:r>
              <w:rPr>
                <w:webHidden/>
              </w:rPr>
              <w:fldChar w:fldCharType="separate"/>
            </w:r>
            <w:r>
              <w:rPr>
                <w:noProof/>
                <w:webHidden/>
              </w:rPr>
              <w:t>32</w:t>
            </w:r>
            <w:r>
              <w:rPr>
                <w:webHidden/>
              </w:rPr>
              <w:fldChar w:fldCharType="end"/>
            </w:r>
          </w:hyperlink>
        </w:p>
        <w:p w:rsidR="00762C45" w:rsidRDefault="00303B66">
          <w:pPr>
            <w:pStyle w:val="Sumrio2"/>
            <w:rPr>
              <w:rFonts w:asciiTheme="minorHAnsi" w:hAnsiTheme="minorHAnsi" w:cstheme="minorBidi"/>
              <w:sz w:val="22"/>
              <w:szCs w:val="22"/>
            </w:rPr>
          </w:pPr>
          <w:hyperlink w:anchor="_Toc474391196">
            <w:r>
              <w:rPr>
                <w:webHidden/>
              </w:rPr>
              <w:fldChar w:fldCharType="begin"/>
            </w:r>
            <w:r>
              <w:rPr>
                <w:webHidden/>
              </w:rPr>
              <w:instrText>PAGEREF _Toc474391196 \h</w:instrText>
            </w:r>
            <w:r>
              <w:rPr>
                <w:webHidden/>
              </w:rPr>
            </w:r>
            <w:r>
              <w:rPr>
                <w:webHidden/>
              </w:rPr>
              <w:fldChar w:fldCharType="separate"/>
            </w:r>
            <w:r>
              <w:rPr>
                <w:noProof/>
                <w:webHidden/>
              </w:rPr>
              <w:t>33</w:t>
            </w:r>
            <w:r>
              <w:rPr>
                <w:webHidden/>
              </w:rPr>
              <w:fldChar w:fldCharType="end"/>
            </w:r>
          </w:hyperlink>
        </w:p>
        <w:p w:rsidR="00762C45" w:rsidRDefault="00303B66">
          <w:pPr>
            <w:pStyle w:val="Sumrio2"/>
            <w:rPr>
              <w:rFonts w:asciiTheme="minorHAnsi" w:hAnsiTheme="minorHAnsi" w:cstheme="minorBidi"/>
              <w:sz w:val="22"/>
              <w:szCs w:val="22"/>
            </w:rPr>
          </w:pPr>
          <w:hyperlink w:anchor="_Toc474391197">
            <w:r>
              <w:rPr>
                <w:webHidden/>
              </w:rPr>
              <w:fldChar w:fldCharType="begin"/>
            </w:r>
            <w:r>
              <w:rPr>
                <w:webHidden/>
              </w:rPr>
              <w:instrText>PAGEREF _Toc474391197 \h</w:instrText>
            </w:r>
            <w:r>
              <w:rPr>
                <w:webHidden/>
              </w:rPr>
            </w:r>
            <w:r>
              <w:rPr>
                <w:webHidden/>
              </w:rPr>
              <w:fldChar w:fldCharType="separate"/>
            </w:r>
            <w:r>
              <w:rPr>
                <w:noProof/>
                <w:webHidden/>
              </w:rPr>
              <w:t>33</w:t>
            </w:r>
            <w:r>
              <w:rPr>
                <w:webHidden/>
              </w:rPr>
              <w:fldChar w:fldCharType="end"/>
            </w:r>
          </w:hyperlink>
        </w:p>
        <w:p w:rsidR="00762C45" w:rsidRDefault="00303B66">
          <w:pPr>
            <w:pStyle w:val="Sumrio2"/>
            <w:rPr>
              <w:rFonts w:asciiTheme="minorHAnsi" w:hAnsiTheme="minorHAnsi" w:cstheme="minorBidi"/>
              <w:sz w:val="22"/>
              <w:szCs w:val="22"/>
            </w:rPr>
          </w:pPr>
          <w:hyperlink w:anchor="_Toc474391198">
            <w:r>
              <w:rPr>
                <w:webHidden/>
              </w:rPr>
              <w:fldChar w:fldCharType="begin"/>
            </w:r>
            <w:r>
              <w:rPr>
                <w:webHidden/>
              </w:rPr>
              <w:instrText>PAGEREF _Toc474391198 \h</w:instrText>
            </w:r>
            <w:r>
              <w:rPr>
                <w:webHidden/>
              </w:rPr>
            </w:r>
            <w:r>
              <w:rPr>
                <w:webHidden/>
              </w:rPr>
              <w:fldChar w:fldCharType="separate"/>
            </w:r>
            <w:r>
              <w:rPr>
                <w:noProof/>
                <w:webHidden/>
              </w:rPr>
              <w:t>34</w:t>
            </w:r>
            <w:r>
              <w:rPr>
                <w:webHidden/>
              </w:rPr>
              <w:fldChar w:fldCharType="end"/>
            </w:r>
          </w:hyperlink>
        </w:p>
        <w:p w:rsidR="00762C45" w:rsidRDefault="00303B66">
          <w:pPr>
            <w:pStyle w:val="Sumrio2"/>
            <w:rPr>
              <w:rFonts w:asciiTheme="minorHAnsi" w:hAnsiTheme="minorHAnsi" w:cstheme="minorBidi"/>
              <w:sz w:val="22"/>
              <w:szCs w:val="22"/>
            </w:rPr>
          </w:pPr>
          <w:hyperlink w:anchor="_Toc474391199">
            <w:r>
              <w:rPr>
                <w:webHidden/>
              </w:rPr>
              <w:fldChar w:fldCharType="begin"/>
            </w:r>
            <w:r>
              <w:rPr>
                <w:webHidden/>
              </w:rPr>
              <w:instrText>PAGEREF _Toc474391199 \h</w:instrText>
            </w:r>
            <w:r>
              <w:rPr>
                <w:webHidden/>
              </w:rPr>
            </w:r>
            <w:r>
              <w:rPr>
                <w:webHidden/>
              </w:rPr>
              <w:fldChar w:fldCharType="separate"/>
            </w:r>
            <w:r>
              <w:rPr>
                <w:noProof/>
                <w:webHidden/>
              </w:rPr>
              <w:t>34</w:t>
            </w:r>
            <w:r>
              <w:rPr>
                <w:webHidden/>
              </w:rPr>
              <w:fldChar w:fldCharType="end"/>
            </w:r>
          </w:hyperlink>
        </w:p>
        <w:p w:rsidR="00762C45" w:rsidRDefault="00303B66">
          <w:pPr>
            <w:pStyle w:val="Sumrio1"/>
            <w:tabs>
              <w:tab w:val="left" w:pos="480"/>
              <w:tab w:val="right" w:leader="dot" w:pos="9736"/>
            </w:tabs>
            <w:rPr>
              <w:rFonts w:asciiTheme="minorHAnsi" w:hAnsiTheme="minorHAnsi" w:cstheme="minorBidi"/>
              <w:sz w:val="22"/>
              <w:szCs w:val="22"/>
            </w:rPr>
          </w:pPr>
          <w:hyperlink w:anchor="_Toc474391200">
            <w:r>
              <w:rPr>
                <w:rStyle w:val="Vnculodendice"/>
                <w:b/>
                <w:bCs/>
                <w:webHidden/>
              </w:rPr>
              <w:t>4.</w:t>
            </w:r>
            <w:r>
              <w:rPr>
                <w:rStyle w:val="Vnculodendice"/>
                <w:rFonts w:asciiTheme="minorHAnsi" w:hAnsiTheme="minorHAnsi" w:cstheme="minorBidi"/>
                <w:sz w:val="22"/>
                <w:szCs w:val="22"/>
              </w:rPr>
              <w:tab/>
            </w:r>
            <w:r>
              <w:rPr>
                <w:rStyle w:val="Vnculodendice"/>
                <w:b/>
                <w:bCs/>
              </w:rPr>
              <w:t>POLÍTICAS DE GESTÃO</w:t>
            </w:r>
            <w:r>
              <w:rPr>
                <w:webHidden/>
              </w:rPr>
              <w:fldChar w:fldCharType="begin"/>
            </w:r>
            <w:r>
              <w:rPr>
                <w:webHidden/>
              </w:rPr>
              <w:instrText>PAGEREF _Toc474391200 \h</w:instrText>
            </w:r>
            <w:r>
              <w:rPr>
                <w:webHidden/>
              </w:rPr>
            </w:r>
            <w:r>
              <w:rPr>
                <w:webHidden/>
              </w:rPr>
              <w:fldChar w:fldCharType="separate"/>
            </w:r>
            <w:r>
              <w:rPr>
                <w:noProof/>
                <w:webHidden/>
              </w:rPr>
              <w:t>34</w:t>
            </w:r>
            <w:r>
              <w:rPr>
                <w:webHidden/>
              </w:rPr>
              <w:fldChar w:fldCharType="end"/>
            </w:r>
          </w:hyperlink>
        </w:p>
        <w:p w:rsidR="00762C45" w:rsidRDefault="00303B66">
          <w:pPr>
            <w:pStyle w:val="Sumrio2"/>
            <w:rPr>
              <w:rFonts w:asciiTheme="minorHAnsi" w:hAnsiTheme="minorHAnsi" w:cstheme="minorBidi"/>
              <w:sz w:val="22"/>
              <w:szCs w:val="22"/>
            </w:rPr>
          </w:pPr>
          <w:hyperlink w:anchor="_Toc474391201">
            <w:r>
              <w:rPr>
                <w:rStyle w:val="Vnculodendice"/>
                <w:webHidden/>
              </w:rPr>
              <w:t>4.1.</w:t>
            </w:r>
            <w:r>
              <w:rPr>
                <w:rStyle w:val="Vnculodendice"/>
                <w:rFonts w:asciiTheme="minorHAnsi" w:hAnsiTheme="minorHAnsi" w:cstheme="minorBidi"/>
                <w:sz w:val="22"/>
                <w:szCs w:val="22"/>
              </w:rPr>
              <w:tab/>
            </w:r>
            <w:r>
              <w:rPr>
                <w:rStyle w:val="Vnculodendice"/>
              </w:rPr>
              <w:t>Política de Formação e Capacitação do Corpo Docente</w:t>
            </w:r>
            <w:r>
              <w:rPr>
                <w:webHidden/>
              </w:rPr>
              <w:fldChar w:fldCharType="begin"/>
            </w:r>
            <w:r>
              <w:rPr>
                <w:webHidden/>
              </w:rPr>
              <w:instrText>PAGEREF _Toc474391201 \h</w:instrText>
            </w:r>
            <w:r>
              <w:rPr>
                <w:webHidden/>
              </w:rPr>
            </w:r>
            <w:r>
              <w:rPr>
                <w:webHidden/>
              </w:rPr>
              <w:fldChar w:fldCharType="separate"/>
            </w:r>
            <w:r>
              <w:rPr>
                <w:noProof/>
                <w:webHidden/>
              </w:rPr>
              <w:t>34</w:t>
            </w:r>
            <w:r>
              <w:rPr>
                <w:webHidden/>
              </w:rPr>
              <w:fldChar w:fldCharType="end"/>
            </w:r>
          </w:hyperlink>
        </w:p>
        <w:p w:rsidR="00762C45" w:rsidRDefault="00303B66">
          <w:pPr>
            <w:pStyle w:val="Sumrio3"/>
            <w:rPr>
              <w:rFonts w:asciiTheme="minorHAnsi" w:hAnsiTheme="minorHAnsi" w:cstheme="minorBidi"/>
              <w:sz w:val="22"/>
              <w:szCs w:val="22"/>
            </w:rPr>
          </w:pPr>
          <w:hyperlink w:anchor="_Toc474391202">
            <w:r>
              <w:rPr>
                <w:webHidden/>
              </w:rPr>
              <w:fldChar w:fldCharType="begin"/>
            </w:r>
            <w:r>
              <w:rPr>
                <w:webHidden/>
              </w:rPr>
              <w:instrText>PAGEREF _Toc474391202 \h</w:instrText>
            </w:r>
            <w:r>
              <w:rPr>
                <w:webHidden/>
              </w:rPr>
            </w:r>
            <w:r>
              <w:rPr>
                <w:webHidden/>
              </w:rPr>
              <w:fldChar w:fldCharType="separate"/>
            </w:r>
            <w:r>
              <w:rPr>
                <w:noProof/>
                <w:webHidden/>
              </w:rPr>
              <w:t>34</w:t>
            </w:r>
            <w:r>
              <w:rPr>
                <w:webHidden/>
              </w:rPr>
              <w:fldChar w:fldCharType="end"/>
            </w:r>
          </w:hyperlink>
        </w:p>
        <w:p w:rsidR="00762C45" w:rsidRDefault="00303B66">
          <w:pPr>
            <w:pStyle w:val="Sumrio3"/>
            <w:rPr>
              <w:rFonts w:asciiTheme="minorHAnsi" w:hAnsiTheme="minorHAnsi" w:cstheme="minorBidi"/>
              <w:sz w:val="22"/>
              <w:szCs w:val="22"/>
            </w:rPr>
          </w:pPr>
          <w:hyperlink w:anchor="_Toc474391203">
            <w:r>
              <w:rPr>
                <w:webHidden/>
              </w:rPr>
              <w:fldChar w:fldCharType="begin"/>
            </w:r>
            <w:r>
              <w:rPr>
                <w:webHidden/>
              </w:rPr>
              <w:instrText>PAGEREF _Toc474391203 \h</w:instrText>
            </w:r>
            <w:r>
              <w:rPr>
                <w:webHidden/>
              </w:rPr>
            </w:r>
            <w:r>
              <w:rPr>
                <w:webHidden/>
              </w:rPr>
              <w:fldChar w:fldCharType="separate"/>
            </w:r>
            <w:r>
              <w:rPr>
                <w:noProof/>
                <w:webHidden/>
              </w:rPr>
              <w:t>35</w:t>
            </w:r>
            <w:r>
              <w:rPr>
                <w:webHidden/>
              </w:rPr>
              <w:fldChar w:fldCharType="end"/>
            </w:r>
          </w:hyperlink>
        </w:p>
        <w:p w:rsidR="00762C45" w:rsidRDefault="00303B66">
          <w:pPr>
            <w:pStyle w:val="Sumrio3"/>
            <w:rPr>
              <w:rFonts w:asciiTheme="minorHAnsi" w:hAnsiTheme="minorHAnsi" w:cstheme="minorBidi"/>
              <w:sz w:val="22"/>
              <w:szCs w:val="22"/>
            </w:rPr>
          </w:pPr>
          <w:hyperlink w:anchor="_Toc474391204">
            <w:r>
              <w:rPr>
                <w:webHidden/>
              </w:rPr>
              <w:fldChar w:fldCharType="begin"/>
            </w:r>
            <w:r>
              <w:rPr>
                <w:webHidden/>
              </w:rPr>
              <w:instrText>PAGEREF _Toc474391204 \h</w:instrText>
            </w:r>
            <w:r>
              <w:rPr>
                <w:webHidden/>
              </w:rPr>
            </w:r>
            <w:r>
              <w:rPr>
                <w:webHidden/>
              </w:rPr>
              <w:fldChar w:fldCharType="separate"/>
            </w:r>
            <w:r>
              <w:rPr>
                <w:noProof/>
                <w:webHidden/>
              </w:rPr>
              <w:t>35</w:t>
            </w:r>
            <w:r>
              <w:rPr>
                <w:webHidden/>
              </w:rPr>
              <w:fldChar w:fldCharType="end"/>
            </w:r>
          </w:hyperlink>
        </w:p>
        <w:p w:rsidR="00762C45" w:rsidRDefault="00303B66">
          <w:pPr>
            <w:pStyle w:val="Sumrio2"/>
            <w:rPr>
              <w:rFonts w:asciiTheme="minorHAnsi" w:hAnsiTheme="minorHAnsi" w:cstheme="minorBidi"/>
              <w:sz w:val="22"/>
              <w:szCs w:val="22"/>
            </w:rPr>
          </w:pPr>
          <w:hyperlink w:anchor="_Toc474391205">
            <w:r>
              <w:rPr>
                <w:webHidden/>
              </w:rPr>
              <w:fldChar w:fldCharType="begin"/>
            </w:r>
            <w:r>
              <w:rPr>
                <w:webHidden/>
              </w:rPr>
              <w:instrText>PAGEREF _Toc474391205 \h</w:instrText>
            </w:r>
            <w:r>
              <w:rPr>
                <w:webHidden/>
              </w:rPr>
            </w:r>
            <w:r>
              <w:rPr>
                <w:webHidden/>
              </w:rPr>
              <w:fldChar w:fldCharType="separate"/>
            </w:r>
            <w:r>
              <w:rPr>
                <w:noProof/>
                <w:webHidden/>
              </w:rPr>
              <w:t>35</w:t>
            </w:r>
            <w:r>
              <w:rPr>
                <w:webHidden/>
              </w:rPr>
              <w:fldChar w:fldCharType="end"/>
            </w:r>
          </w:hyperlink>
        </w:p>
        <w:p w:rsidR="00762C45" w:rsidRDefault="00303B66">
          <w:pPr>
            <w:pStyle w:val="Sumrio3"/>
            <w:rPr>
              <w:rFonts w:asciiTheme="minorHAnsi" w:hAnsiTheme="minorHAnsi" w:cstheme="minorBidi"/>
              <w:sz w:val="22"/>
              <w:szCs w:val="22"/>
            </w:rPr>
          </w:pPr>
          <w:hyperlink w:anchor="_Toc474391206">
            <w:r>
              <w:rPr>
                <w:webHidden/>
              </w:rPr>
              <w:fldChar w:fldCharType="begin"/>
            </w:r>
            <w:r>
              <w:rPr>
                <w:webHidden/>
              </w:rPr>
              <w:instrText>PAGEREF _Toc474391206 \h</w:instrText>
            </w:r>
            <w:r>
              <w:rPr>
                <w:webHidden/>
              </w:rPr>
            </w:r>
            <w:r>
              <w:rPr>
                <w:webHidden/>
              </w:rPr>
              <w:fldChar w:fldCharType="separate"/>
            </w:r>
            <w:r>
              <w:rPr>
                <w:noProof/>
                <w:webHidden/>
              </w:rPr>
              <w:t>35</w:t>
            </w:r>
            <w:r>
              <w:rPr>
                <w:webHidden/>
              </w:rPr>
              <w:fldChar w:fldCharType="end"/>
            </w:r>
          </w:hyperlink>
        </w:p>
        <w:p w:rsidR="00762C45" w:rsidRDefault="00303B66">
          <w:pPr>
            <w:pStyle w:val="Sumrio3"/>
            <w:rPr>
              <w:rFonts w:asciiTheme="minorHAnsi" w:hAnsiTheme="minorHAnsi" w:cstheme="minorBidi"/>
              <w:sz w:val="22"/>
              <w:szCs w:val="22"/>
            </w:rPr>
          </w:pPr>
          <w:hyperlink w:anchor="_Toc474391207">
            <w:r>
              <w:rPr>
                <w:webHidden/>
              </w:rPr>
              <w:fldChar w:fldCharType="begin"/>
            </w:r>
            <w:r>
              <w:rPr>
                <w:webHidden/>
              </w:rPr>
              <w:instrText>PAGEREF _Toc474391207 \h</w:instrText>
            </w:r>
            <w:r>
              <w:rPr>
                <w:webHidden/>
              </w:rPr>
            </w:r>
            <w:r>
              <w:rPr>
                <w:webHidden/>
              </w:rPr>
              <w:fldChar w:fldCharType="separate"/>
            </w:r>
            <w:r>
              <w:rPr>
                <w:noProof/>
                <w:webHidden/>
              </w:rPr>
              <w:t>35</w:t>
            </w:r>
            <w:r>
              <w:rPr>
                <w:webHidden/>
              </w:rPr>
              <w:fldChar w:fldCharType="end"/>
            </w:r>
          </w:hyperlink>
        </w:p>
        <w:p w:rsidR="00762C45" w:rsidRDefault="00303B66">
          <w:pPr>
            <w:pStyle w:val="Sumrio3"/>
            <w:rPr>
              <w:rFonts w:asciiTheme="minorHAnsi" w:hAnsiTheme="minorHAnsi" w:cstheme="minorBidi"/>
              <w:sz w:val="22"/>
              <w:szCs w:val="22"/>
            </w:rPr>
          </w:pPr>
          <w:hyperlink w:anchor="_Toc474391208">
            <w:r>
              <w:rPr>
                <w:webHidden/>
              </w:rPr>
              <w:fldChar w:fldCharType="begin"/>
            </w:r>
            <w:r>
              <w:rPr>
                <w:webHidden/>
              </w:rPr>
              <w:instrText>PAGEREF _Toc474391208 \h</w:instrText>
            </w:r>
            <w:r>
              <w:rPr>
                <w:webHidden/>
              </w:rPr>
            </w:r>
            <w:r>
              <w:rPr>
                <w:webHidden/>
              </w:rPr>
              <w:fldChar w:fldCharType="separate"/>
            </w:r>
            <w:r>
              <w:rPr>
                <w:noProof/>
                <w:webHidden/>
              </w:rPr>
              <w:t>35</w:t>
            </w:r>
            <w:r>
              <w:rPr>
                <w:webHidden/>
              </w:rPr>
              <w:fldChar w:fldCharType="end"/>
            </w:r>
          </w:hyperlink>
        </w:p>
        <w:p w:rsidR="00762C45" w:rsidRDefault="00303B66">
          <w:pPr>
            <w:pStyle w:val="Sumrio2"/>
            <w:rPr>
              <w:rFonts w:asciiTheme="minorHAnsi" w:hAnsiTheme="minorHAnsi" w:cstheme="minorBidi"/>
              <w:sz w:val="22"/>
              <w:szCs w:val="22"/>
            </w:rPr>
          </w:pPr>
          <w:hyperlink w:anchor="_Toc474391209">
            <w:r>
              <w:rPr>
                <w:webHidden/>
              </w:rPr>
              <w:fldChar w:fldCharType="begin"/>
            </w:r>
            <w:r>
              <w:rPr>
                <w:webHidden/>
              </w:rPr>
              <w:instrText>PAGEREF _Toc474391209 \h</w:instrText>
            </w:r>
            <w:r>
              <w:rPr>
                <w:webHidden/>
              </w:rPr>
            </w:r>
            <w:r>
              <w:rPr>
                <w:webHidden/>
              </w:rPr>
              <w:fldChar w:fldCharType="separate"/>
            </w:r>
            <w:r>
              <w:rPr>
                <w:noProof/>
                <w:webHidden/>
              </w:rPr>
              <w:t>36</w:t>
            </w:r>
            <w:r>
              <w:rPr>
                <w:webHidden/>
              </w:rPr>
              <w:fldChar w:fldCharType="end"/>
            </w:r>
          </w:hyperlink>
        </w:p>
        <w:p w:rsidR="00762C45" w:rsidRDefault="00303B66">
          <w:pPr>
            <w:pStyle w:val="Sumrio3"/>
            <w:rPr>
              <w:rFonts w:asciiTheme="minorHAnsi" w:hAnsiTheme="minorHAnsi" w:cstheme="minorBidi"/>
              <w:sz w:val="22"/>
              <w:szCs w:val="22"/>
            </w:rPr>
          </w:pPr>
          <w:hyperlink w:anchor="_Toc474391210">
            <w:r>
              <w:rPr>
                <w:webHidden/>
              </w:rPr>
              <w:fldChar w:fldCharType="begin"/>
            </w:r>
            <w:r>
              <w:rPr>
                <w:webHidden/>
              </w:rPr>
              <w:instrText>PAGEREF _Toc474391210 \h</w:instrText>
            </w:r>
            <w:r>
              <w:rPr>
                <w:webHidden/>
              </w:rPr>
            </w:r>
            <w:r>
              <w:rPr>
                <w:webHidden/>
              </w:rPr>
              <w:fldChar w:fldCharType="separate"/>
            </w:r>
            <w:r>
              <w:rPr>
                <w:noProof/>
                <w:webHidden/>
              </w:rPr>
              <w:t>36</w:t>
            </w:r>
            <w:r>
              <w:rPr>
                <w:webHidden/>
              </w:rPr>
              <w:fldChar w:fldCharType="end"/>
            </w:r>
          </w:hyperlink>
        </w:p>
        <w:p w:rsidR="00762C45" w:rsidRDefault="00303B66">
          <w:pPr>
            <w:pStyle w:val="Sumrio3"/>
            <w:rPr>
              <w:rFonts w:asciiTheme="minorHAnsi" w:hAnsiTheme="minorHAnsi" w:cstheme="minorBidi"/>
              <w:sz w:val="22"/>
              <w:szCs w:val="22"/>
            </w:rPr>
          </w:pPr>
          <w:hyperlink w:anchor="_Toc474391211">
            <w:r>
              <w:rPr>
                <w:webHidden/>
              </w:rPr>
              <w:fldChar w:fldCharType="begin"/>
            </w:r>
            <w:r>
              <w:rPr>
                <w:webHidden/>
              </w:rPr>
              <w:instrText>PAGEREF _Toc474391211 \h</w:instrText>
            </w:r>
            <w:r>
              <w:rPr>
                <w:webHidden/>
              </w:rPr>
            </w:r>
            <w:r>
              <w:rPr>
                <w:webHidden/>
              </w:rPr>
              <w:fldChar w:fldCharType="separate"/>
            </w:r>
            <w:r>
              <w:rPr>
                <w:noProof/>
                <w:webHidden/>
              </w:rPr>
              <w:t>40</w:t>
            </w:r>
            <w:r>
              <w:rPr>
                <w:webHidden/>
              </w:rPr>
              <w:fldChar w:fldCharType="end"/>
            </w:r>
          </w:hyperlink>
        </w:p>
        <w:p w:rsidR="00762C45" w:rsidRDefault="00303B66">
          <w:pPr>
            <w:pStyle w:val="Sumrio2"/>
            <w:rPr>
              <w:rFonts w:asciiTheme="minorHAnsi" w:hAnsiTheme="minorHAnsi" w:cstheme="minorBidi"/>
              <w:sz w:val="22"/>
              <w:szCs w:val="22"/>
            </w:rPr>
          </w:pPr>
          <w:hyperlink w:anchor="_Toc474391212">
            <w:r>
              <w:rPr>
                <w:webHidden/>
              </w:rPr>
              <w:fldChar w:fldCharType="begin"/>
            </w:r>
            <w:r>
              <w:rPr>
                <w:webHidden/>
              </w:rPr>
              <w:instrText>PAGEREF _Toc474391212 \h</w:instrText>
            </w:r>
            <w:r>
              <w:rPr>
                <w:webHidden/>
              </w:rPr>
            </w:r>
            <w:r>
              <w:rPr>
                <w:webHidden/>
              </w:rPr>
              <w:fldChar w:fldCharType="separate"/>
            </w:r>
            <w:r>
              <w:rPr>
                <w:noProof/>
                <w:webHidden/>
              </w:rPr>
              <w:t>40</w:t>
            </w:r>
            <w:r>
              <w:rPr>
                <w:webHidden/>
              </w:rPr>
              <w:fldChar w:fldCharType="end"/>
            </w:r>
          </w:hyperlink>
        </w:p>
        <w:p w:rsidR="00762C45" w:rsidRDefault="00303B66">
          <w:pPr>
            <w:pStyle w:val="Sumrio2"/>
            <w:rPr>
              <w:rFonts w:asciiTheme="minorHAnsi" w:hAnsiTheme="minorHAnsi" w:cstheme="minorBidi"/>
              <w:sz w:val="22"/>
              <w:szCs w:val="22"/>
            </w:rPr>
          </w:pPr>
          <w:hyperlink w:anchor="_Toc474391213">
            <w:r>
              <w:rPr>
                <w:webHidden/>
              </w:rPr>
              <w:fldChar w:fldCharType="begin"/>
            </w:r>
            <w:r>
              <w:rPr>
                <w:webHidden/>
              </w:rPr>
              <w:instrText>PAGEREF _Toc474391213 \h</w:instrText>
            </w:r>
            <w:r>
              <w:rPr>
                <w:webHidden/>
              </w:rPr>
            </w:r>
            <w:r>
              <w:rPr>
                <w:webHidden/>
              </w:rPr>
              <w:fldChar w:fldCharType="separate"/>
            </w:r>
            <w:r>
              <w:rPr>
                <w:noProof/>
                <w:webHidden/>
              </w:rPr>
              <w:t>40</w:t>
            </w:r>
            <w:r>
              <w:rPr>
                <w:webHidden/>
              </w:rPr>
              <w:fldChar w:fldCharType="end"/>
            </w:r>
          </w:hyperlink>
        </w:p>
        <w:p w:rsidR="00762C45" w:rsidRDefault="00303B66">
          <w:pPr>
            <w:pStyle w:val="Sumrio2"/>
            <w:rPr>
              <w:rFonts w:asciiTheme="minorHAnsi" w:hAnsiTheme="minorHAnsi" w:cstheme="minorBidi"/>
              <w:sz w:val="22"/>
              <w:szCs w:val="22"/>
            </w:rPr>
          </w:pPr>
          <w:hyperlink w:anchor="_Toc474391214">
            <w:r>
              <w:rPr>
                <w:webHidden/>
              </w:rPr>
              <w:fldChar w:fldCharType="begin"/>
            </w:r>
            <w:r>
              <w:rPr>
                <w:webHidden/>
              </w:rPr>
              <w:instrText>PAGEREF _Toc474391214 \h</w:instrText>
            </w:r>
            <w:r>
              <w:rPr>
                <w:webHidden/>
              </w:rPr>
            </w:r>
            <w:r>
              <w:rPr>
                <w:webHidden/>
              </w:rPr>
              <w:fldChar w:fldCharType="separate"/>
            </w:r>
            <w:r>
              <w:rPr>
                <w:noProof/>
                <w:webHidden/>
              </w:rPr>
              <w:t>40</w:t>
            </w:r>
            <w:r>
              <w:rPr>
                <w:webHidden/>
              </w:rPr>
              <w:fldChar w:fldCharType="end"/>
            </w:r>
          </w:hyperlink>
        </w:p>
        <w:p w:rsidR="00762C45" w:rsidRDefault="00303B66">
          <w:pPr>
            <w:pStyle w:val="Sumrio3"/>
            <w:rPr>
              <w:rFonts w:asciiTheme="minorHAnsi" w:hAnsiTheme="minorHAnsi" w:cstheme="minorBidi"/>
              <w:sz w:val="22"/>
              <w:szCs w:val="22"/>
            </w:rPr>
          </w:pPr>
          <w:hyperlink w:anchor="_Toc474391215">
            <w:r>
              <w:rPr>
                <w:webHidden/>
              </w:rPr>
              <w:fldChar w:fldCharType="begin"/>
            </w:r>
            <w:r>
              <w:rPr>
                <w:webHidden/>
              </w:rPr>
              <w:instrText>PAGEREF _Toc474391215 \h</w:instrText>
            </w:r>
            <w:r>
              <w:rPr>
                <w:webHidden/>
              </w:rPr>
            </w:r>
            <w:r>
              <w:rPr>
                <w:webHidden/>
              </w:rPr>
              <w:fldChar w:fldCharType="separate"/>
            </w:r>
            <w:r>
              <w:rPr>
                <w:noProof/>
                <w:webHidden/>
              </w:rPr>
              <w:t>40</w:t>
            </w:r>
            <w:r>
              <w:rPr>
                <w:webHidden/>
              </w:rPr>
              <w:fldChar w:fldCharType="end"/>
            </w:r>
          </w:hyperlink>
        </w:p>
        <w:p w:rsidR="00762C45" w:rsidRDefault="00303B66">
          <w:pPr>
            <w:pStyle w:val="Sumrio1"/>
            <w:tabs>
              <w:tab w:val="left" w:pos="880"/>
              <w:tab w:val="right" w:leader="dot" w:pos="9736"/>
            </w:tabs>
            <w:rPr>
              <w:rFonts w:asciiTheme="minorHAnsi" w:hAnsiTheme="minorHAnsi" w:cstheme="minorBidi"/>
              <w:sz w:val="22"/>
              <w:szCs w:val="22"/>
            </w:rPr>
          </w:pPr>
          <w:hyperlink w:anchor="_Toc474391216">
            <w:r>
              <w:rPr>
                <w:rStyle w:val="Vnculodendice"/>
                <w:b/>
                <w:webHidden/>
              </w:rPr>
              <w:t>4.6.2</w:t>
            </w:r>
            <w:r>
              <w:rPr>
                <w:rStyle w:val="Vnculodendice"/>
                <w:rFonts w:asciiTheme="minorHAnsi" w:hAnsiTheme="minorHAnsi" w:cstheme="minorBidi"/>
                <w:sz w:val="22"/>
                <w:szCs w:val="22"/>
              </w:rPr>
              <w:tab/>
            </w:r>
            <w:r>
              <w:rPr>
                <w:rStyle w:val="Vnculodendice"/>
                <w:b/>
              </w:rPr>
              <w:t>Corpo Técnico-Administrativo</w:t>
            </w:r>
            <w:r>
              <w:rPr>
                <w:webHidden/>
              </w:rPr>
              <w:fldChar w:fldCharType="begin"/>
            </w:r>
            <w:r>
              <w:rPr>
                <w:webHidden/>
              </w:rPr>
              <w:instrText>PAGEREF _Toc474391216 \h</w:instrText>
            </w:r>
            <w:r>
              <w:rPr>
                <w:webHidden/>
              </w:rPr>
            </w:r>
            <w:r>
              <w:rPr>
                <w:webHidden/>
              </w:rPr>
              <w:fldChar w:fldCharType="separate"/>
            </w:r>
            <w:r>
              <w:rPr>
                <w:noProof/>
                <w:webHidden/>
              </w:rPr>
              <w:t>44</w:t>
            </w:r>
            <w:r>
              <w:rPr>
                <w:webHidden/>
              </w:rPr>
              <w:fldChar w:fldCharType="end"/>
            </w:r>
          </w:hyperlink>
        </w:p>
        <w:p w:rsidR="00762C45" w:rsidRDefault="00303B66">
          <w:pPr>
            <w:pStyle w:val="Sumrio2"/>
            <w:rPr>
              <w:rFonts w:asciiTheme="minorHAnsi" w:hAnsiTheme="minorHAnsi" w:cstheme="minorBidi"/>
              <w:sz w:val="22"/>
              <w:szCs w:val="22"/>
            </w:rPr>
          </w:pPr>
          <w:hyperlink w:anchor="_Toc474391217">
            <w:r>
              <w:rPr>
                <w:webHidden/>
              </w:rPr>
              <w:fldChar w:fldCharType="begin"/>
            </w:r>
            <w:r>
              <w:rPr>
                <w:webHidden/>
              </w:rPr>
              <w:instrText>PAGEREF _Toc474391217 \h</w:instrText>
            </w:r>
            <w:r>
              <w:rPr>
                <w:webHidden/>
              </w:rPr>
            </w:r>
            <w:r>
              <w:rPr>
                <w:webHidden/>
              </w:rPr>
              <w:fldChar w:fldCharType="separate"/>
            </w:r>
            <w:r>
              <w:rPr>
                <w:noProof/>
                <w:webHidden/>
              </w:rPr>
              <w:t>45</w:t>
            </w:r>
            <w:r>
              <w:rPr>
                <w:webHidden/>
              </w:rPr>
              <w:fldChar w:fldCharType="end"/>
            </w:r>
          </w:hyperlink>
        </w:p>
        <w:p w:rsidR="00762C45" w:rsidRDefault="00303B66">
          <w:pPr>
            <w:pStyle w:val="Sumrio3"/>
            <w:rPr>
              <w:rFonts w:asciiTheme="minorHAnsi" w:hAnsiTheme="minorHAnsi" w:cstheme="minorBidi"/>
              <w:sz w:val="22"/>
              <w:szCs w:val="22"/>
            </w:rPr>
          </w:pPr>
          <w:hyperlink w:anchor="_Toc474391218">
            <w:r>
              <w:rPr>
                <w:rStyle w:val="Vnculodendice"/>
                <w:bCs/>
                <w:webHidden/>
              </w:rPr>
              <w:t>5. INFRAESTRUTURA FÍSICA</w:t>
            </w:r>
            <w:r>
              <w:rPr>
                <w:webHidden/>
              </w:rPr>
              <w:fldChar w:fldCharType="begin"/>
            </w:r>
            <w:r>
              <w:rPr>
                <w:webHidden/>
              </w:rPr>
              <w:instrText>PAGEREF _Toc474391218 \h</w:instrText>
            </w:r>
            <w:r>
              <w:rPr>
                <w:webHidden/>
              </w:rPr>
            </w:r>
            <w:r>
              <w:rPr>
                <w:webHidden/>
              </w:rPr>
              <w:fldChar w:fldCharType="separate"/>
            </w:r>
            <w:r>
              <w:rPr>
                <w:noProof/>
                <w:webHidden/>
              </w:rPr>
              <w:t>45</w:t>
            </w:r>
            <w:r>
              <w:rPr>
                <w:webHidden/>
              </w:rPr>
              <w:fldChar w:fldCharType="end"/>
            </w:r>
          </w:hyperlink>
        </w:p>
        <w:p w:rsidR="00762C45" w:rsidRDefault="00303B66">
          <w:pPr>
            <w:pStyle w:val="Sumrio2"/>
            <w:rPr>
              <w:rFonts w:asciiTheme="minorHAnsi" w:hAnsiTheme="minorHAnsi" w:cstheme="minorBidi"/>
              <w:sz w:val="22"/>
              <w:szCs w:val="22"/>
            </w:rPr>
          </w:pPr>
          <w:hyperlink w:anchor="_Toc474391219">
            <w:r>
              <w:rPr>
                <w:webHidden/>
              </w:rPr>
              <w:fldChar w:fldCharType="begin"/>
            </w:r>
            <w:r>
              <w:rPr>
                <w:webHidden/>
              </w:rPr>
              <w:instrText>PAGEREF _Toc474391219 \h</w:instrText>
            </w:r>
            <w:r>
              <w:rPr>
                <w:webHidden/>
              </w:rPr>
            </w:r>
            <w:r>
              <w:rPr>
                <w:webHidden/>
              </w:rPr>
              <w:fldChar w:fldCharType="separate"/>
            </w:r>
            <w:r>
              <w:rPr>
                <w:noProof/>
                <w:webHidden/>
              </w:rPr>
              <w:t>47</w:t>
            </w:r>
            <w:r>
              <w:rPr>
                <w:webHidden/>
              </w:rPr>
              <w:fldChar w:fldCharType="end"/>
            </w:r>
          </w:hyperlink>
        </w:p>
        <w:p w:rsidR="00762C45" w:rsidRDefault="00303B66">
          <w:pPr>
            <w:pStyle w:val="Sumrio3"/>
            <w:rPr>
              <w:rFonts w:asciiTheme="minorHAnsi" w:hAnsiTheme="minorHAnsi" w:cstheme="minorBidi"/>
              <w:sz w:val="22"/>
              <w:szCs w:val="22"/>
            </w:rPr>
          </w:pPr>
          <w:hyperlink w:anchor="_Toc474391220">
            <w:r>
              <w:rPr>
                <w:webHidden/>
              </w:rPr>
              <w:fldChar w:fldCharType="begin"/>
            </w:r>
            <w:r>
              <w:rPr>
                <w:webHidden/>
              </w:rPr>
              <w:instrText>PAGEREF _Toc474391220 \h</w:instrText>
            </w:r>
            <w:r>
              <w:rPr>
                <w:webHidden/>
              </w:rPr>
            </w:r>
            <w:r>
              <w:rPr>
                <w:webHidden/>
              </w:rPr>
              <w:fldChar w:fldCharType="separate"/>
            </w:r>
            <w:r>
              <w:rPr>
                <w:noProof/>
                <w:webHidden/>
              </w:rPr>
              <w:t>47</w:t>
            </w:r>
            <w:r>
              <w:rPr>
                <w:webHidden/>
              </w:rPr>
              <w:fldChar w:fldCharType="end"/>
            </w:r>
          </w:hyperlink>
        </w:p>
        <w:p w:rsidR="00762C45" w:rsidRDefault="00303B66">
          <w:pPr>
            <w:pStyle w:val="Sumrio3"/>
            <w:rPr>
              <w:rFonts w:asciiTheme="minorHAnsi" w:hAnsiTheme="minorHAnsi" w:cstheme="minorBidi"/>
              <w:sz w:val="22"/>
              <w:szCs w:val="22"/>
            </w:rPr>
          </w:pPr>
          <w:hyperlink w:anchor="_Toc474391221">
            <w:r>
              <w:rPr>
                <w:rStyle w:val="Vnculodendice"/>
                <w:bCs/>
                <w:webHidden/>
              </w:rPr>
              <w:t xml:space="preserve">5.1.2 </w:t>
            </w:r>
            <w:r>
              <w:rPr>
                <w:rStyle w:val="Vnculodendice"/>
              </w:rPr>
              <w:t>Serviços e Informatização</w:t>
            </w:r>
            <w:r>
              <w:rPr>
                <w:webHidden/>
              </w:rPr>
              <w:fldChar w:fldCharType="begin"/>
            </w:r>
            <w:r>
              <w:rPr>
                <w:webHidden/>
              </w:rPr>
              <w:instrText>PAGEREF _Toc474391221 \h</w:instrText>
            </w:r>
            <w:r>
              <w:rPr>
                <w:webHidden/>
              </w:rPr>
            </w:r>
            <w:r>
              <w:rPr>
                <w:webHidden/>
              </w:rPr>
              <w:fldChar w:fldCharType="separate"/>
            </w:r>
            <w:r>
              <w:rPr>
                <w:noProof/>
                <w:webHidden/>
              </w:rPr>
              <w:t>47</w:t>
            </w:r>
            <w:r>
              <w:rPr>
                <w:webHidden/>
              </w:rPr>
              <w:fldChar w:fldCharType="end"/>
            </w:r>
          </w:hyperlink>
        </w:p>
        <w:p w:rsidR="00762C45" w:rsidRDefault="00303B66">
          <w:pPr>
            <w:pStyle w:val="Sumrio3"/>
            <w:rPr>
              <w:rFonts w:asciiTheme="minorHAnsi" w:hAnsiTheme="minorHAnsi" w:cstheme="minorBidi"/>
              <w:sz w:val="22"/>
              <w:szCs w:val="22"/>
            </w:rPr>
          </w:pPr>
          <w:hyperlink w:anchor="_Toc474391222">
            <w:r>
              <w:rPr>
                <w:rStyle w:val="Vnculodendice"/>
                <w:bCs/>
                <w:webHidden/>
              </w:rPr>
              <w:t xml:space="preserve">5.1.3 </w:t>
            </w:r>
            <w:r>
              <w:rPr>
                <w:rStyle w:val="Vnculodendice"/>
              </w:rPr>
              <w:t>Plano de Atualização do Acervo</w:t>
            </w:r>
            <w:r>
              <w:rPr>
                <w:webHidden/>
              </w:rPr>
              <w:fldChar w:fldCharType="begin"/>
            </w:r>
            <w:r>
              <w:rPr>
                <w:webHidden/>
              </w:rPr>
              <w:instrText>PAGEREF _Toc474391222 \h</w:instrText>
            </w:r>
            <w:r>
              <w:rPr>
                <w:webHidden/>
              </w:rPr>
            </w:r>
            <w:r>
              <w:rPr>
                <w:webHidden/>
              </w:rPr>
              <w:fldChar w:fldCharType="separate"/>
            </w:r>
            <w:r>
              <w:rPr>
                <w:noProof/>
                <w:webHidden/>
              </w:rPr>
              <w:t>48</w:t>
            </w:r>
            <w:r>
              <w:rPr>
                <w:webHidden/>
              </w:rPr>
              <w:fldChar w:fldCharType="end"/>
            </w:r>
          </w:hyperlink>
        </w:p>
        <w:p w:rsidR="00762C45" w:rsidRDefault="00303B66">
          <w:pPr>
            <w:pStyle w:val="Sumrio2"/>
            <w:rPr>
              <w:rFonts w:asciiTheme="minorHAnsi" w:hAnsiTheme="minorHAnsi" w:cstheme="minorBidi"/>
              <w:sz w:val="22"/>
              <w:szCs w:val="22"/>
            </w:rPr>
          </w:pPr>
          <w:hyperlink w:anchor="_Toc474391223">
            <w:r>
              <w:rPr>
                <w:webHidden/>
              </w:rPr>
              <w:fldChar w:fldCharType="begin"/>
            </w:r>
            <w:r>
              <w:rPr>
                <w:webHidden/>
              </w:rPr>
              <w:instrText>PAGEREF _Toc474391223 \h</w:instrText>
            </w:r>
            <w:r>
              <w:rPr>
                <w:webHidden/>
              </w:rPr>
            </w:r>
            <w:r>
              <w:rPr>
                <w:webHidden/>
              </w:rPr>
              <w:fldChar w:fldCharType="separate"/>
            </w:r>
            <w:r>
              <w:rPr>
                <w:noProof/>
                <w:webHidden/>
              </w:rPr>
              <w:t>48</w:t>
            </w:r>
            <w:r>
              <w:rPr>
                <w:webHidden/>
              </w:rPr>
              <w:fldChar w:fldCharType="end"/>
            </w:r>
          </w:hyperlink>
        </w:p>
        <w:p w:rsidR="00762C45" w:rsidRDefault="00303B66">
          <w:pPr>
            <w:pStyle w:val="Sumrio2"/>
            <w:rPr>
              <w:rFonts w:asciiTheme="minorHAnsi" w:hAnsiTheme="minorHAnsi" w:cstheme="minorBidi"/>
              <w:sz w:val="22"/>
              <w:szCs w:val="22"/>
            </w:rPr>
          </w:pPr>
          <w:hyperlink w:anchor="_Toc474391224">
            <w:r>
              <w:rPr>
                <w:webHidden/>
              </w:rPr>
              <w:fldChar w:fldCharType="begin"/>
            </w:r>
            <w:r>
              <w:rPr>
                <w:webHidden/>
              </w:rPr>
              <w:instrText>PAGEREF _Toc474391224 \h</w:instrText>
            </w:r>
            <w:r>
              <w:rPr>
                <w:webHidden/>
              </w:rPr>
            </w:r>
            <w:r>
              <w:rPr>
                <w:webHidden/>
              </w:rPr>
              <w:fldChar w:fldCharType="separate"/>
            </w:r>
            <w:r>
              <w:rPr>
                <w:noProof/>
                <w:webHidden/>
              </w:rPr>
              <w:t>50</w:t>
            </w:r>
            <w:r>
              <w:rPr>
                <w:webHidden/>
              </w:rPr>
              <w:fldChar w:fldCharType="end"/>
            </w:r>
          </w:hyperlink>
        </w:p>
        <w:p w:rsidR="00762C45" w:rsidRDefault="00303B66">
          <w:pPr>
            <w:pStyle w:val="Sumrio2"/>
            <w:rPr>
              <w:rFonts w:asciiTheme="minorHAnsi" w:hAnsiTheme="minorHAnsi" w:cstheme="minorBidi"/>
              <w:sz w:val="22"/>
              <w:szCs w:val="22"/>
            </w:rPr>
          </w:pPr>
          <w:hyperlink w:anchor="_Toc474391225">
            <w:r>
              <w:rPr>
                <w:webHidden/>
              </w:rPr>
              <w:fldChar w:fldCharType="begin"/>
            </w:r>
            <w:r>
              <w:rPr>
                <w:webHidden/>
              </w:rPr>
              <w:instrText>PAGEREF _Toc474391225 \h</w:instrText>
            </w:r>
            <w:r>
              <w:rPr>
                <w:webHidden/>
              </w:rPr>
            </w:r>
            <w:r>
              <w:rPr>
                <w:webHidden/>
              </w:rPr>
              <w:fldChar w:fldCharType="separate"/>
            </w:r>
            <w:r>
              <w:rPr>
                <w:noProof/>
                <w:webHidden/>
              </w:rPr>
              <w:t>50</w:t>
            </w:r>
            <w:r>
              <w:rPr>
                <w:webHidden/>
              </w:rPr>
              <w:fldChar w:fldCharType="end"/>
            </w:r>
          </w:hyperlink>
        </w:p>
        <w:p w:rsidR="00762C45" w:rsidRDefault="00303B66">
          <w:pPr>
            <w:pStyle w:val="Sumrio3"/>
            <w:rPr>
              <w:rFonts w:asciiTheme="minorHAnsi" w:hAnsiTheme="minorHAnsi" w:cstheme="minorBidi"/>
              <w:sz w:val="22"/>
              <w:szCs w:val="22"/>
            </w:rPr>
          </w:pPr>
          <w:hyperlink w:anchor="_Toc474391226">
            <w:r>
              <w:rPr>
                <w:webHidden/>
              </w:rPr>
              <w:fldChar w:fldCharType="begin"/>
            </w:r>
            <w:r>
              <w:rPr>
                <w:webHidden/>
              </w:rPr>
              <w:instrText>PAGEREF _Toc474391226 \h</w:instrText>
            </w:r>
            <w:r>
              <w:rPr>
                <w:webHidden/>
              </w:rPr>
            </w:r>
            <w:r>
              <w:rPr>
                <w:webHidden/>
              </w:rPr>
              <w:fldChar w:fldCharType="separate"/>
            </w:r>
            <w:r>
              <w:rPr>
                <w:noProof/>
                <w:webHidden/>
              </w:rPr>
              <w:t>50</w:t>
            </w:r>
            <w:r>
              <w:rPr>
                <w:webHidden/>
              </w:rPr>
              <w:fldChar w:fldCharType="end"/>
            </w:r>
          </w:hyperlink>
        </w:p>
        <w:p w:rsidR="00762C45" w:rsidRDefault="00303B66">
          <w:pPr>
            <w:pStyle w:val="Sumrio3"/>
            <w:rPr>
              <w:rFonts w:asciiTheme="minorHAnsi" w:hAnsiTheme="minorHAnsi" w:cstheme="minorBidi"/>
              <w:sz w:val="22"/>
              <w:szCs w:val="22"/>
            </w:rPr>
          </w:pPr>
          <w:hyperlink w:anchor="_Toc474391227">
            <w:r>
              <w:rPr>
                <w:rStyle w:val="Vnculodendice"/>
                <w:bCs/>
                <w:webHidden/>
              </w:rPr>
              <w:t xml:space="preserve">5.4.2 </w:t>
            </w:r>
            <w:r>
              <w:rPr>
                <w:rStyle w:val="Vnculodendice"/>
              </w:rPr>
              <w:t>Serviços</w:t>
            </w:r>
            <w:r>
              <w:rPr>
                <w:webHidden/>
              </w:rPr>
              <w:fldChar w:fldCharType="begin"/>
            </w:r>
            <w:r>
              <w:rPr>
                <w:webHidden/>
              </w:rPr>
              <w:instrText>PAGEREF _Toc474391227 \h</w:instrText>
            </w:r>
            <w:r>
              <w:rPr>
                <w:webHidden/>
              </w:rPr>
            </w:r>
            <w:r>
              <w:rPr>
                <w:webHidden/>
              </w:rPr>
              <w:fldChar w:fldCharType="separate"/>
            </w:r>
            <w:r>
              <w:rPr>
                <w:noProof/>
                <w:webHidden/>
              </w:rPr>
              <w:t>51</w:t>
            </w:r>
            <w:r>
              <w:rPr>
                <w:webHidden/>
              </w:rPr>
              <w:fldChar w:fldCharType="end"/>
            </w:r>
          </w:hyperlink>
        </w:p>
        <w:p w:rsidR="00762C45" w:rsidRDefault="00303B66">
          <w:pPr>
            <w:pStyle w:val="Sumrio2"/>
            <w:rPr>
              <w:rFonts w:asciiTheme="minorHAnsi" w:hAnsiTheme="minorHAnsi" w:cstheme="minorBidi"/>
              <w:sz w:val="22"/>
              <w:szCs w:val="22"/>
            </w:rPr>
          </w:pPr>
          <w:hyperlink w:anchor="_Toc474391228">
            <w:r>
              <w:rPr>
                <w:webHidden/>
              </w:rPr>
              <w:fldChar w:fldCharType="begin"/>
            </w:r>
            <w:r>
              <w:rPr>
                <w:webHidden/>
              </w:rPr>
              <w:instrText>PAGEREF _Toc474391228 \h</w:instrText>
            </w:r>
            <w:r>
              <w:rPr>
                <w:webHidden/>
              </w:rPr>
            </w:r>
            <w:r>
              <w:rPr>
                <w:webHidden/>
              </w:rPr>
              <w:fldChar w:fldCharType="separate"/>
            </w:r>
            <w:r>
              <w:rPr>
                <w:noProof/>
                <w:webHidden/>
              </w:rPr>
              <w:t>51</w:t>
            </w:r>
            <w:r>
              <w:rPr>
                <w:webHidden/>
              </w:rPr>
              <w:fldChar w:fldCharType="end"/>
            </w:r>
          </w:hyperlink>
        </w:p>
        <w:p w:rsidR="00762C45" w:rsidRDefault="00303B66">
          <w:pPr>
            <w:jc w:val="both"/>
          </w:pPr>
          <w:r>
            <w:fldChar w:fldCharType="end"/>
          </w:r>
        </w:p>
      </w:sdtContent>
    </w:sdt>
    <w:p w:rsidR="00762C45" w:rsidRDefault="00762C45">
      <w:pPr>
        <w:widowControl/>
        <w:jc w:val="center"/>
        <w:rPr>
          <w:b/>
          <w:bCs/>
          <w:color w:val="000000"/>
        </w:rPr>
      </w:pPr>
    </w:p>
    <w:p w:rsidR="00762C45" w:rsidRDefault="00762C45">
      <w:pPr>
        <w:pStyle w:val="Estilo3"/>
        <w:jc w:val="center"/>
      </w:pPr>
    </w:p>
    <w:p w:rsidR="00762C45" w:rsidRDefault="00762C45">
      <w:pPr>
        <w:pStyle w:val="Estilo3"/>
        <w:jc w:val="center"/>
      </w:pPr>
    </w:p>
    <w:p w:rsidR="00762C45" w:rsidRDefault="00762C45">
      <w:pPr>
        <w:pStyle w:val="Estilo3"/>
        <w:jc w:val="center"/>
      </w:pPr>
    </w:p>
    <w:p w:rsidR="00762C45" w:rsidRDefault="00762C45">
      <w:pPr>
        <w:pStyle w:val="Estilo3"/>
        <w:jc w:val="center"/>
      </w:pPr>
    </w:p>
    <w:p w:rsidR="00762C45" w:rsidRDefault="00303B66">
      <w:pPr>
        <w:pStyle w:val="Estilo3"/>
        <w:jc w:val="center"/>
      </w:pPr>
      <w:bookmarkStart w:id="1" w:name="_Toc474391155"/>
      <w:bookmarkEnd w:id="1"/>
      <w:r>
        <w:t>APRESENTAÇÃO</w:t>
      </w:r>
    </w:p>
    <w:p w:rsidR="00762C45" w:rsidRDefault="00762C45">
      <w:pPr>
        <w:widowControl/>
        <w:jc w:val="both"/>
        <w:rPr>
          <w:b/>
          <w:bCs/>
          <w:color w:val="000000"/>
          <w:sz w:val="22"/>
          <w:szCs w:val="22"/>
        </w:rPr>
      </w:pPr>
    </w:p>
    <w:p w:rsidR="00762C45" w:rsidRDefault="00762C45">
      <w:pPr>
        <w:widowControl/>
        <w:jc w:val="both"/>
        <w:rPr>
          <w:b/>
          <w:bCs/>
          <w:color w:val="000000"/>
          <w:sz w:val="22"/>
          <w:szCs w:val="22"/>
        </w:rPr>
      </w:pPr>
    </w:p>
    <w:p w:rsidR="00762C45" w:rsidRDefault="00762C45">
      <w:pPr>
        <w:widowControl/>
        <w:spacing w:line="360" w:lineRule="auto"/>
        <w:jc w:val="both"/>
        <w:rPr>
          <w:b/>
          <w:bCs/>
          <w:color w:val="000000"/>
          <w:sz w:val="22"/>
          <w:szCs w:val="22"/>
        </w:rPr>
      </w:pPr>
    </w:p>
    <w:p w:rsidR="00762C45" w:rsidRDefault="00303B66">
      <w:pPr>
        <w:widowControl/>
        <w:spacing w:line="360" w:lineRule="auto"/>
        <w:ind w:firstLine="567"/>
        <w:jc w:val="both"/>
        <w:rPr>
          <w:sz w:val="22"/>
          <w:szCs w:val="22"/>
        </w:rPr>
      </w:pPr>
      <w:r>
        <w:rPr>
          <w:bCs/>
          <w:color w:val="000000"/>
          <w:sz w:val="22"/>
          <w:szCs w:val="22"/>
        </w:rPr>
        <w:lastRenderedPageBreak/>
        <w:t xml:space="preserve">O marco histórico da atuação do Instituto Federal de Educação, Ciência e Tecnologia do Pará na microrregião do salgado paraense se deu através da criação do Polo Avançado de Vigia de Nazaré, em 01/10/2010 e, a sua transformação em </w:t>
      </w:r>
      <w:r>
        <w:rPr>
          <w:bCs/>
          <w:i/>
          <w:color w:val="000000"/>
          <w:sz w:val="22"/>
          <w:szCs w:val="22"/>
        </w:rPr>
        <w:t>Campus</w:t>
      </w:r>
      <w:r>
        <w:rPr>
          <w:bCs/>
          <w:color w:val="000000"/>
          <w:sz w:val="22"/>
          <w:szCs w:val="22"/>
        </w:rPr>
        <w:t xml:space="preserve"> Avançado em 2014, veio concretizar todos os esforços da sua gestão ao longo dos 6 (seis) anos de existência, a qual contou com o empenho do Prof. Élio de Almeida Cordeiro, Reitor do IFPA, ao perceber a importância desse </w:t>
      </w:r>
      <w:r>
        <w:rPr>
          <w:bCs/>
          <w:i/>
          <w:iCs/>
          <w:color w:val="000000"/>
          <w:sz w:val="22"/>
          <w:szCs w:val="22"/>
        </w:rPr>
        <w:t>campus</w:t>
      </w:r>
      <w:r>
        <w:rPr>
          <w:bCs/>
          <w:color w:val="000000"/>
          <w:sz w:val="22"/>
          <w:szCs w:val="22"/>
        </w:rPr>
        <w:t xml:space="preserve">, o que foi fundamental para a implementação de ações com vistas ao desenvolvimento sustentável da sua região de abrangência, que inclui 10 (dez) dos 11 (onze) municípios que compõem a microrregião mencionada, além de Santo Antonio do Tauá que é limítrofe de Vigia. </w:t>
      </w:r>
    </w:p>
    <w:p w:rsidR="00762C45" w:rsidRDefault="00303B66">
      <w:pPr>
        <w:widowControl/>
        <w:spacing w:line="360" w:lineRule="auto"/>
        <w:ind w:firstLine="567"/>
        <w:jc w:val="both"/>
        <w:rPr>
          <w:sz w:val="22"/>
          <w:szCs w:val="22"/>
        </w:rPr>
      </w:pPr>
      <w:r>
        <w:rPr>
          <w:bCs/>
          <w:color w:val="000000"/>
          <w:sz w:val="22"/>
          <w:szCs w:val="22"/>
        </w:rPr>
        <w:t xml:space="preserve">Nesse sentido, considera-se que o Plano de Desenvolvimento para o período 2016-2018 constitui um mecanismo através do qual são definidos os rumos do </w:t>
      </w:r>
      <w:r>
        <w:rPr>
          <w:bCs/>
          <w:i/>
          <w:color w:val="000000"/>
          <w:sz w:val="22"/>
          <w:szCs w:val="22"/>
        </w:rPr>
        <w:t>Campus</w:t>
      </w:r>
      <w:r>
        <w:rPr>
          <w:bCs/>
          <w:color w:val="000000"/>
          <w:sz w:val="22"/>
          <w:szCs w:val="22"/>
        </w:rPr>
        <w:t xml:space="preserve"> Avançado Vigia que, com a inauguração da sua sede própria, muito em breve deverá ser elevado à categoria de </w:t>
      </w:r>
      <w:r>
        <w:rPr>
          <w:bCs/>
          <w:i/>
          <w:color w:val="000000"/>
          <w:sz w:val="22"/>
          <w:szCs w:val="22"/>
        </w:rPr>
        <w:t>Campus</w:t>
      </w:r>
      <w:r>
        <w:rPr>
          <w:bCs/>
          <w:color w:val="000000"/>
          <w:sz w:val="22"/>
          <w:szCs w:val="22"/>
        </w:rPr>
        <w:t>, passando a compor mais uma unidade gestora no âmbito do IFPA com maior autonomia administrativa.</w:t>
      </w:r>
    </w:p>
    <w:p w:rsidR="00762C45" w:rsidRDefault="00303B66">
      <w:pPr>
        <w:widowControl/>
        <w:spacing w:line="360" w:lineRule="auto"/>
        <w:ind w:firstLine="567"/>
        <w:jc w:val="both"/>
        <w:rPr>
          <w:sz w:val="22"/>
          <w:szCs w:val="22"/>
        </w:rPr>
      </w:pPr>
      <w:r>
        <w:rPr>
          <w:bCs/>
          <w:color w:val="000000"/>
          <w:sz w:val="22"/>
          <w:szCs w:val="22"/>
        </w:rPr>
        <w:t xml:space="preserve">Este PDC constitui, portanto, o instrumento norteador de ações, objetivos e metas do </w:t>
      </w:r>
      <w:r>
        <w:rPr>
          <w:bCs/>
          <w:i/>
          <w:color w:val="000000"/>
          <w:sz w:val="22"/>
          <w:szCs w:val="22"/>
        </w:rPr>
        <w:t>Campus</w:t>
      </w:r>
      <w:r>
        <w:rPr>
          <w:bCs/>
          <w:color w:val="000000"/>
          <w:sz w:val="22"/>
          <w:szCs w:val="22"/>
        </w:rPr>
        <w:t xml:space="preserve"> Avançado Vigia, elaborado a partir de estudos realizados que contemplam as aspirações das comunidades locais e regionais de forma a se ter um amplo leque de atuação capaz de promover uma formação profissional e tecnológica de qualidade, a partir das demandas dessas populações.</w:t>
      </w:r>
    </w:p>
    <w:p w:rsidR="00762C45" w:rsidRDefault="00303B66">
      <w:pPr>
        <w:widowControl/>
        <w:spacing w:line="360" w:lineRule="auto"/>
        <w:ind w:firstLine="567"/>
        <w:jc w:val="both"/>
      </w:pPr>
      <w:r>
        <w:rPr>
          <w:bCs/>
          <w:color w:val="000000"/>
          <w:sz w:val="22"/>
          <w:szCs w:val="22"/>
        </w:rPr>
        <w:t xml:space="preserve">Convém ressaltar que o PDC está em estreita sintonia com as diretrizes emanadas do Plano de Desenvolvimento Institucional (PDI) do IFPA que estabeleceu como princípios: </w:t>
      </w:r>
      <w:r>
        <w:rPr>
          <w:b/>
          <w:bCs/>
          <w:i/>
          <w:iCs/>
          <w:color w:val="000000"/>
          <w:sz w:val="22"/>
          <w:szCs w:val="22"/>
        </w:rPr>
        <w:t>a) pensamento sistêmico,</w:t>
      </w:r>
      <w:r>
        <w:rPr>
          <w:bCs/>
          <w:i/>
          <w:iCs/>
          <w:color w:val="000000"/>
          <w:sz w:val="22"/>
          <w:szCs w:val="22"/>
        </w:rPr>
        <w:t xml:space="preserve"> que diz respeito à clareza quanto ao modus operandi da Instituição; </w:t>
      </w:r>
      <w:r>
        <w:rPr>
          <w:b/>
          <w:bCs/>
          <w:i/>
          <w:iCs/>
          <w:color w:val="000000"/>
          <w:sz w:val="22"/>
          <w:szCs w:val="22"/>
        </w:rPr>
        <w:t>b) geração de valor,</w:t>
      </w:r>
      <w:r>
        <w:rPr>
          <w:bCs/>
          <w:i/>
          <w:iCs/>
          <w:color w:val="000000"/>
          <w:sz w:val="22"/>
          <w:szCs w:val="22"/>
        </w:rPr>
        <w:t xml:space="preserve"> </w:t>
      </w:r>
      <w:r>
        <w:rPr>
          <w:rFonts w:eastAsia="Times New Roman"/>
          <w:i/>
          <w:iCs/>
          <w:sz w:val="22"/>
          <w:szCs w:val="22"/>
        </w:rPr>
        <w:t xml:space="preserve">refletida na capacidade de assegurar o aumento do valor tangível e intangível da instituição e, </w:t>
      </w:r>
      <w:r>
        <w:rPr>
          <w:rFonts w:eastAsia="Times New Roman"/>
          <w:b/>
          <w:i/>
          <w:iCs/>
          <w:sz w:val="22"/>
          <w:szCs w:val="22"/>
        </w:rPr>
        <w:t>c) foco no cidadão e na sociedade</w:t>
      </w:r>
      <w:r>
        <w:rPr>
          <w:rFonts w:eastAsia="Times New Roman"/>
          <w:i/>
          <w:iCs/>
          <w:sz w:val="22"/>
          <w:szCs w:val="22"/>
        </w:rPr>
        <w:t xml:space="preserve"> relacionado com a razão de existência do IFPA, ou seja, ofertar serviço de qualidade, que atenda a comunidade, aos cidadãos e, portanto, a sociedade. </w:t>
      </w:r>
    </w:p>
    <w:p w:rsidR="00762C45" w:rsidRDefault="00303B66">
      <w:pPr>
        <w:widowControl/>
        <w:spacing w:line="360" w:lineRule="auto"/>
        <w:ind w:firstLine="567"/>
        <w:jc w:val="both"/>
      </w:pPr>
      <w:r>
        <w:rPr>
          <w:rFonts w:eastAsia="Times New Roman"/>
          <w:sz w:val="22"/>
          <w:szCs w:val="22"/>
        </w:rPr>
        <w:t xml:space="preserve">Cabe ainda destacar as 5 (cinco) dimensões que norteiam o PDI do IFPA as quais o PDC deste </w:t>
      </w:r>
      <w:r>
        <w:rPr>
          <w:rFonts w:eastAsia="Times New Roman"/>
          <w:i/>
          <w:iCs/>
          <w:sz w:val="22"/>
          <w:szCs w:val="22"/>
        </w:rPr>
        <w:t>Campus</w:t>
      </w:r>
      <w:r>
        <w:rPr>
          <w:rFonts w:eastAsia="Times New Roman"/>
          <w:sz w:val="22"/>
          <w:szCs w:val="22"/>
        </w:rPr>
        <w:t xml:space="preserve"> se propõe implementar: </w:t>
      </w:r>
      <w:r>
        <w:rPr>
          <w:rFonts w:eastAsia="Times New Roman"/>
          <w:b/>
          <w:bCs/>
          <w:i/>
          <w:iCs/>
          <w:sz w:val="22"/>
          <w:szCs w:val="22"/>
        </w:rPr>
        <w:t>a) melhoria na qualidade do ensino ofertado; b) fortalecimento do ensino, extensão, pesquisa e inovação; c) fortalecimento das políticas de acesso, permanência e inclusão no campus; d) gestão e, e) responsabilidade orçamentária e financeira.</w:t>
      </w:r>
    </w:p>
    <w:p w:rsidR="00762C45" w:rsidRDefault="00303B66">
      <w:pPr>
        <w:widowControl/>
        <w:spacing w:line="360" w:lineRule="auto"/>
        <w:ind w:firstLine="567"/>
        <w:jc w:val="both"/>
        <w:rPr>
          <w:sz w:val="22"/>
          <w:szCs w:val="22"/>
        </w:rPr>
      </w:pPr>
      <w:r>
        <w:rPr>
          <w:rFonts w:eastAsia="Times New Roman"/>
          <w:sz w:val="22"/>
          <w:szCs w:val="22"/>
        </w:rPr>
        <w:t xml:space="preserve">Por fim, a gestão do </w:t>
      </w:r>
      <w:r>
        <w:rPr>
          <w:rFonts w:eastAsia="Times New Roman"/>
          <w:i/>
          <w:sz w:val="22"/>
          <w:szCs w:val="22"/>
        </w:rPr>
        <w:t>Campus</w:t>
      </w:r>
      <w:r>
        <w:rPr>
          <w:rFonts w:eastAsia="Times New Roman"/>
          <w:sz w:val="22"/>
          <w:szCs w:val="22"/>
        </w:rPr>
        <w:t xml:space="preserve"> Avançado Vigia, juntamente com a comunidade acadêmica se empenhará em torná-lo uma instituição com objetivos e metas claras, exequíveis e, principalmente, que reflitam o desejo de aliar qualidade de ensino a excelência da gestão, conforme preconiza o PDI do IFPA. </w:t>
      </w:r>
    </w:p>
    <w:p w:rsidR="00762C45" w:rsidRDefault="00762C45">
      <w:pPr>
        <w:widowControl/>
        <w:jc w:val="both"/>
        <w:rPr>
          <w:b/>
          <w:bCs/>
          <w:color w:val="000000"/>
          <w:sz w:val="22"/>
          <w:szCs w:val="22"/>
        </w:rPr>
      </w:pPr>
    </w:p>
    <w:p w:rsidR="00762C45" w:rsidRDefault="00762C45">
      <w:pPr>
        <w:widowControl/>
        <w:jc w:val="both"/>
        <w:rPr>
          <w:b/>
          <w:bCs/>
          <w:color w:val="000000"/>
          <w:sz w:val="22"/>
          <w:szCs w:val="22"/>
        </w:rPr>
      </w:pPr>
    </w:p>
    <w:p w:rsidR="00762C45" w:rsidRDefault="00762C45">
      <w:pPr>
        <w:widowControl/>
        <w:jc w:val="both"/>
        <w:rPr>
          <w:b/>
          <w:bCs/>
          <w:color w:val="000000"/>
          <w:sz w:val="22"/>
          <w:szCs w:val="22"/>
        </w:rPr>
      </w:pPr>
    </w:p>
    <w:p w:rsidR="00762C45" w:rsidRDefault="00303B66">
      <w:pPr>
        <w:pStyle w:val="Ttulo1"/>
      </w:pPr>
      <w:bookmarkStart w:id="2" w:name="_Toc474391156"/>
      <w:r>
        <w:rPr>
          <w:b/>
          <w:bCs/>
          <w:color w:val="000000"/>
          <w:sz w:val="22"/>
          <w:szCs w:val="22"/>
        </w:rPr>
        <w:t xml:space="preserve">1. </w:t>
      </w:r>
      <w:r>
        <w:rPr>
          <w:b/>
          <w:bCs/>
          <w:sz w:val="22"/>
          <w:szCs w:val="22"/>
        </w:rPr>
        <w:t>PLANEJAMENTO E</w:t>
      </w:r>
      <w:bookmarkEnd w:id="2"/>
      <w:r>
        <w:rPr>
          <w:b/>
          <w:bCs/>
          <w:color w:val="000000"/>
          <w:sz w:val="22"/>
          <w:szCs w:val="22"/>
        </w:rPr>
        <w:t xml:space="preserve"> DESENVOLVIMENTO INSTITUCIONAL</w:t>
      </w:r>
    </w:p>
    <w:p w:rsidR="00762C45" w:rsidRDefault="00762C45">
      <w:pPr>
        <w:ind w:left="375"/>
        <w:jc w:val="both"/>
        <w:rPr>
          <w:b/>
          <w:bCs/>
          <w:color w:val="000000"/>
          <w:sz w:val="22"/>
          <w:szCs w:val="22"/>
        </w:rPr>
      </w:pPr>
    </w:p>
    <w:p w:rsidR="00762C45" w:rsidRDefault="00303B66">
      <w:pPr>
        <w:pStyle w:val="Ttulo2"/>
        <w:tabs>
          <w:tab w:val="left" w:pos="284"/>
        </w:tabs>
        <w:rPr>
          <w:rFonts w:ascii="Times New Roman" w:hAnsi="Times New Roman" w:cs="Times New Roman"/>
          <w:sz w:val="22"/>
          <w:szCs w:val="22"/>
        </w:rPr>
      </w:pPr>
      <w:bookmarkStart w:id="3" w:name="_Toc474391157"/>
      <w:r>
        <w:rPr>
          <w:rFonts w:ascii="Times New Roman" w:hAnsi="Times New Roman" w:cs="Times New Roman"/>
          <w:b/>
          <w:bCs/>
          <w:color w:val="000000"/>
          <w:sz w:val="22"/>
          <w:szCs w:val="22"/>
        </w:rPr>
        <w:t>1.1</w:t>
      </w:r>
      <w:r>
        <w:rPr>
          <w:rFonts w:ascii="Times New Roman" w:hAnsi="Times New Roman" w:cs="Times New Roman"/>
          <w:b/>
          <w:bCs/>
          <w:color w:val="000000"/>
          <w:sz w:val="22"/>
          <w:szCs w:val="22"/>
        </w:rPr>
        <w:tab/>
        <w:t xml:space="preserve"> Missão Institucional</w:t>
      </w:r>
      <w:bookmarkEnd w:id="3"/>
      <w:r>
        <w:rPr>
          <w:rFonts w:ascii="Times New Roman" w:hAnsi="Times New Roman" w:cs="Times New Roman"/>
          <w:b/>
          <w:bCs/>
          <w:color w:val="000000"/>
          <w:sz w:val="22"/>
          <w:szCs w:val="22"/>
        </w:rPr>
        <w:t xml:space="preserve"> </w:t>
      </w:r>
    </w:p>
    <w:p w:rsidR="00762C45" w:rsidRDefault="00762C45">
      <w:pPr>
        <w:ind w:left="360"/>
        <w:jc w:val="both"/>
        <w:rPr>
          <w:b/>
          <w:bCs/>
          <w:color w:val="000000"/>
          <w:sz w:val="22"/>
          <w:szCs w:val="22"/>
        </w:rPr>
      </w:pPr>
    </w:p>
    <w:p w:rsidR="00762C45" w:rsidRDefault="00303B66">
      <w:pPr>
        <w:shd w:val="clear" w:color="auto" w:fill="FFFFFF"/>
        <w:ind w:firstLine="567"/>
        <w:jc w:val="both"/>
        <w:rPr>
          <w:sz w:val="22"/>
          <w:szCs w:val="22"/>
        </w:rPr>
      </w:pPr>
      <w:r>
        <w:rPr>
          <w:sz w:val="22"/>
          <w:szCs w:val="22"/>
        </w:rPr>
        <w:t>Promover a educação técnica e tecnológica no âmbito do ensino e extensão, com vistas ao desenvolvimento socioeconômico ambiental e político, valorizando a cultura e fortalecendo as potencialidades dos municípios da sua área de abrangência.</w:t>
      </w:r>
    </w:p>
    <w:p w:rsidR="00762C45" w:rsidRDefault="00762C45">
      <w:pPr>
        <w:shd w:val="clear" w:color="auto" w:fill="FFFFFF"/>
        <w:ind w:firstLine="375"/>
        <w:jc w:val="both"/>
        <w:rPr>
          <w:sz w:val="22"/>
          <w:szCs w:val="22"/>
        </w:rPr>
      </w:pPr>
    </w:p>
    <w:p w:rsidR="00762C45" w:rsidRDefault="00303B66">
      <w:pPr>
        <w:pStyle w:val="Ttulo2"/>
        <w:tabs>
          <w:tab w:val="left" w:pos="284"/>
        </w:tabs>
        <w:rPr>
          <w:rFonts w:ascii="Times New Roman" w:hAnsi="Times New Roman" w:cs="Times New Roman"/>
          <w:sz w:val="22"/>
          <w:szCs w:val="22"/>
        </w:rPr>
      </w:pPr>
      <w:bookmarkStart w:id="4" w:name="_Toc474391158"/>
      <w:bookmarkEnd w:id="4"/>
      <w:r>
        <w:rPr>
          <w:rFonts w:ascii="Times New Roman" w:hAnsi="Times New Roman" w:cs="Times New Roman"/>
          <w:b/>
          <w:bCs/>
          <w:color w:val="000000"/>
          <w:sz w:val="22"/>
          <w:szCs w:val="22"/>
        </w:rPr>
        <w:t>1.2 Visão</w:t>
      </w:r>
    </w:p>
    <w:p w:rsidR="00762C45" w:rsidRDefault="00762C45">
      <w:pPr>
        <w:shd w:val="clear" w:color="auto" w:fill="FFFFFF"/>
        <w:ind w:firstLine="375"/>
        <w:jc w:val="both"/>
        <w:rPr>
          <w:sz w:val="22"/>
          <w:szCs w:val="22"/>
        </w:rPr>
      </w:pPr>
    </w:p>
    <w:p w:rsidR="00762C45" w:rsidRDefault="00303B66">
      <w:pPr>
        <w:shd w:val="clear" w:color="auto" w:fill="FFFFFF"/>
        <w:ind w:firstLine="567"/>
        <w:jc w:val="both"/>
      </w:pPr>
      <w:r>
        <w:rPr>
          <w:sz w:val="22"/>
          <w:szCs w:val="22"/>
        </w:rPr>
        <w:t>Ser uma instituição federal de educação técnica e tecnológica, consolidada e de referência na microrregião do salgado.</w:t>
      </w:r>
    </w:p>
    <w:p w:rsidR="00762C45" w:rsidRDefault="00762C45">
      <w:pPr>
        <w:shd w:val="clear" w:color="auto" w:fill="FFFFFF"/>
        <w:ind w:firstLine="375"/>
        <w:jc w:val="both"/>
        <w:rPr>
          <w:sz w:val="22"/>
          <w:szCs w:val="22"/>
        </w:rPr>
      </w:pPr>
    </w:p>
    <w:p w:rsidR="00762C45" w:rsidRDefault="00303B66">
      <w:pPr>
        <w:pStyle w:val="Ttulo2"/>
        <w:tabs>
          <w:tab w:val="left" w:pos="284"/>
        </w:tabs>
        <w:rPr>
          <w:rFonts w:ascii="Times New Roman" w:hAnsi="Times New Roman" w:cs="Times New Roman"/>
          <w:sz w:val="22"/>
          <w:szCs w:val="22"/>
        </w:rPr>
      </w:pPr>
      <w:bookmarkStart w:id="5" w:name="_Toc474391159"/>
      <w:bookmarkEnd w:id="5"/>
      <w:r>
        <w:rPr>
          <w:rFonts w:ascii="Times New Roman" w:hAnsi="Times New Roman" w:cs="Times New Roman"/>
          <w:b/>
          <w:bCs/>
          <w:color w:val="000000"/>
          <w:sz w:val="22"/>
          <w:szCs w:val="22"/>
        </w:rPr>
        <w:t>1.3 Valores</w:t>
      </w:r>
    </w:p>
    <w:p w:rsidR="00762C45" w:rsidRDefault="00762C45">
      <w:pPr>
        <w:ind w:firstLine="357"/>
        <w:jc w:val="both"/>
        <w:rPr>
          <w:sz w:val="22"/>
          <w:szCs w:val="22"/>
        </w:rPr>
      </w:pPr>
    </w:p>
    <w:p w:rsidR="00762C45" w:rsidRDefault="00303B66">
      <w:pPr>
        <w:ind w:firstLine="567"/>
        <w:jc w:val="both"/>
        <w:rPr>
          <w:sz w:val="22"/>
          <w:szCs w:val="22"/>
        </w:rPr>
      </w:pPr>
      <w:r>
        <w:rPr>
          <w:sz w:val="22"/>
          <w:szCs w:val="22"/>
        </w:rPr>
        <w:t xml:space="preserve">Formação cidadã; </w:t>
      </w:r>
    </w:p>
    <w:p w:rsidR="00762C45" w:rsidRDefault="00303B66">
      <w:pPr>
        <w:ind w:firstLine="567"/>
        <w:jc w:val="both"/>
        <w:rPr>
          <w:sz w:val="22"/>
          <w:szCs w:val="22"/>
        </w:rPr>
      </w:pPr>
      <w:r>
        <w:rPr>
          <w:sz w:val="22"/>
          <w:szCs w:val="22"/>
        </w:rPr>
        <w:t xml:space="preserve">Ética e Transparência; </w:t>
      </w:r>
    </w:p>
    <w:p w:rsidR="00762C45" w:rsidRDefault="00303B66">
      <w:pPr>
        <w:ind w:firstLine="567"/>
        <w:jc w:val="both"/>
        <w:rPr>
          <w:sz w:val="22"/>
          <w:szCs w:val="22"/>
        </w:rPr>
      </w:pPr>
      <w:r>
        <w:rPr>
          <w:sz w:val="22"/>
          <w:szCs w:val="22"/>
        </w:rPr>
        <w:t xml:space="preserve">Inclusão e Integração da diversidade; </w:t>
      </w:r>
    </w:p>
    <w:p w:rsidR="00762C45" w:rsidRDefault="00303B66">
      <w:pPr>
        <w:ind w:firstLine="567"/>
        <w:jc w:val="both"/>
        <w:rPr>
          <w:sz w:val="22"/>
          <w:szCs w:val="22"/>
        </w:rPr>
      </w:pPr>
      <w:r>
        <w:rPr>
          <w:sz w:val="22"/>
          <w:szCs w:val="22"/>
        </w:rPr>
        <w:t xml:space="preserve">Inovação Científica e Tecnológica; </w:t>
      </w:r>
    </w:p>
    <w:p w:rsidR="00762C45" w:rsidRDefault="00303B66">
      <w:pPr>
        <w:ind w:firstLine="567"/>
        <w:jc w:val="both"/>
        <w:rPr>
          <w:sz w:val="22"/>
          <w:szCs w:val="22"/>
        </w:rPr>
      </w:pPr>
      <w:r>
        <w:rPr>
          <w:sz w:val="22"/>
          <w:szCs w:val="22"/>
        </w:rPr>
        <w:t xml:space="preserve">Excelência na Gestão Pública e Educacional; </w:t>
      </w:r>
    </w:p>
    <w:p w:rsidR="00762C45" w:rsidRDefault="00303B66">
      <w:pPr>
        <w:ind w:firstLine="567"/>
        <w:jc w:val="both"/>
        <w:rPr>
          <w:sz w:val="22"/>
          <w:szCs w:val="22"/>
        </w:rPr>
      </w:pPr>
      <w:r>
        <w:rPr>
          <w:sz w:val="22"/>
          <w:szCs w:val="22"/>
        </w:rPr>
        <w:t>Compromisso com o Desenvolvimento local e regional e Desenvolvimento Sustentável.</w:t>
      </w:r>
    </w:p>
    <w:p w:rsidR="00762C45" w:rsidRDefault="00762C45">
      <w:pPr>
        <w:jc w:val="both"/>
        <w:rPr>
          <w:sz w:val="22"/>
          <w:szCs w:val="22"/>
        </w:rPr>
      </w:pPr>
    </w:p>
    <w:p w:rsidR="00762C45" w:rsidRDefault="00303B66">
      <w:pPr>
        <w:pStyle w:val="Ttulo2"/>
        <w:rPr>
          <w:rFonts w:ascii="Times New Roman" w:hAnsi="Times New Roman" w:cs="Times New Roman"/>
          <w:sz w:val="22"/>
          <w:szCs w:val="22"/>
        </w:rPr>
      </w:pPr>
      <w:bookmarkStart w:id="6" w:name="_Toc474391160"/>
      <w:r>
        <w:rPr>
          <w:rFonts w:ascii="Times New Roman" w:hAnsi="Times New Roman" w:cs="Times New Roman"/>
          <w:b/>
          <w:bCs/>
          <w:color w:val="000000"/>
          <w:sz w:val="22"/>
          <w:szCs w:val="22"/>
        </w:rPr>
        <w:t>1.4 Histórico de Implantação e Desenvolvimento</w:t>
      </w:r>
      <w:bookmarkEnd w:id="6"/>
      <w:r>
        <w:rPr>
          <w:rFonts w:ascii="Times New Roman" w:hAnsi="Times New Roman" w:cs="Times New Roman"/>
          <w:b/>
          <w:bCs/>
          <w:color w:val="000000"/>
          <w:sz w:val="22"/>
          <w:szCs w:val="22"/>
        </w:rPr>
        <w:t xml:space="preserve"> </w:t>
      </w:r>
    </w:p>
    <w:p w:rsidR="00762C45" w:rsidRDefault="00762C45">
      <w:pPr>
        <w:jc w:val="both"/>
        <w:rPr>
          <w:b/>
          <w:bCs/>
          <w:color w:val="000000"/>
          <w:sz w:val="22"/>
          <w:szCs w:val="22"/>
        </w:rPr>
      </w:pPr>
    </w:p>
    <w:p w:rsidR="00762C45" w:rsidRDefault="00303B66">
      <w:pPr>
        <w:tabs>
          <w:tab w:val="left" w:pos="5103"/>
        </w:tabs>
        <w:ind w:firstLine="567"/>
        <w:jc w:val="both"/>
        <w:rPr>
          <w:sz w:val="22"/>
          <w:szCs w:val="22"/>
        </w:rPr>
      </w:pPr>
      <w:r>
        <w:rPr>
          <w:sz w:val="22"/>
          <w:szCs w:val="22"/>
        </w:rPr>
        <w:t xml:space="preserve">Como marco inicial da atuação do Instituto nessa microrregião foi implantado, em 1º de outubro de 2010, o Polo Avançado de Vigia de Nazaré, o qual funcionou em um prédio cedido pela Prefeitura Municipal, por força de um Convênio de Cooperação celebrado com o IFPA. </w:t>
      </w:r>
    </w:p>
    <w:p w:rsidR="00762C45" w:rsidRDefault="00303B66">
      <w:pPr>
        <w:tabs>
          <w:tab w:val="left" w:pos="5103"/>
        </w:tabs>
        <w:ind w:firstLine="567"/>
        <w:jc w:val="both"/>
        <w:rPr>
          <w:sz w:val="22"/>
          <w:szCs w:val="22"/>
        </w:rPr>
      </w:pPr>
      <w:r>
        <w:rPr>
          <w:sz w:val="22"/>
          <w:szCs w:val="22"/>
        </w:rPr>
        <w:t>Os recursos humanos disponibilizados para dar suporte as atividades administrativas e acadêmicas do Polo, incluíram uma Diretora Geral, 3 servidores docentes do quadro efetivo, 6 professores substitutos e 5 funcionários de apoio administrativo, contratados através de uma empresa terceirizada incluindo 2 recepcionistas, 1 motorista, 1 auxiliar de serviços gerais e 1 de limpeza e conservação.</w:t>
      </w:r>
    </w:p>
    <w:p w:rsidR="00762C45" w:rsidRDefault="00303B66">
      <w:pPr>
        <w:shd w:val="clear" w:color="auto" w:fill="FFFFFF"/>
        <w:ind w:firstLine="567"/>
        <w:jc w:val="both"/>
        <w:rPr>
          <w:sz w:val="22"/>
          <w:szCs w:val="22"/>
        </w:rPr>
      </w:pPr>
      <w:r>
        <w:rPr>
          <w:sz w:val="22"/>
          <w:szCs w:val="22"/>
        </w:rPr>
        <w:t>O ensino constituiu o principal macroprocesso finalístico do</w:t>
      </w:r>
      <w:r>
        <w:rPr>
          <w:color w:val="FF0000"/>
          <w:sz w:val="22"/>
          <w:szCs w:val="22"/>
        </w:rPr>
        <w:t xml:space="preserve"> </w:t>
      </w:r>
      <w:r>
        <w:rPr>
          <w:sz w:val="22"/>
          <w:szCs w:val="22"/>
        </w:rPr>
        <w:t>Polo, abrangendo cursos técnicos subsequentes nas modalidades presenciais e semipresenciais, dos eixos tecnológicos de Informação e Comunicação, Infraestrutura, Recursos Naturais e Turismo, Hospitalidade e Lazer.</w:t>
      </w:r>
    </w:p>
    <w:p w:rsidR="00762C45" w:rsidRDefault="00303B66">
      <w:pPr>
        <w:shd w:val="clear" w:color="auto" w:fill="FFFFFF"/>
        <w:ind w:firstLine="567"/>
        <w:jc w:val="both"/>
        <w:rPr>
          <w:sz w:val="22"/>
          <w:szCs w:val="22"/>
        </w:rPr>
      </w:pPr>
      <w:r>
        <w:rPr>
          <w:sz w:val="22"/>
          <w:szCs w:val="22"/>
        </w:rPr>
        <w:t xml:space="preserve">No período de 2012 a 2013, o Polo </w:t>
      </w:r>
      <w:r>
        <w:rPr>
          <w:color w:val="000000"/>
          <w:sz w:val="22"/>
          <w:szCs w:val="22"/>
        </w:rPr>
        <w:t xml:space="preserve">contou com o apoio do </w:t>
      </w:r>
      <w:r>
        <w:rPr>
          <w:i/>
          <w:iCs/>
          <w:color w:val="000000"/>
          <w:sz w:val="22"/>
          <w:szCs w:val="22"/>
        </w:rPr>
        <w:t>Campus</w:t>
      </w:r>
      <w:r>
        <w:rPr>
          <w:color w:val="000000"/>
          <w:sz w:val="22"/>
          <w:szCs w:val="22"/>
        </w:rPr>
        <w:t xml:space="preserve"> Rural de Marabá o qual contribuiu, de forma significativa, para o desenvolvimento das suas atividades acadêmicas e administrativas.</w:t>
      </w:r>
    </w:p>
    <w:p w:rsidR="00762C45" w:rsidRDefault="00303B66">
      <w:pPr>
        <w:shd w:val="clear" w:color="auto" w:fill="FFFFFF"/>
        <w:ind w:firstLine="567"/>
        <w:jc w:val="both"/>
        <w:rPr>
          <w:sz w:val="22"/>
          <w:szCs w:val="22"/>
        </w:rPr>
      </w:pPr>
      <w:r>
        <w:rPr>
          <w:sz w:val="22"/>
          <w:szCs w:val="22"/>
        </w:rPr>
        <w:t>Como parte da programação dos cursos técnicos subsequentes foi desenvolvida uma série de atividades as quais, além de aulas teóricas e práticas, incluíram a realização de diagnósticos dos setores da pesca e aquicultura, turismo e hospitalidade e inclusão digital, com vistas à reelaboração da Matriz Curricular dos respectivos cursos; visitas técnicas; promoção e participação em eventos de caráter técnico, científico e cultural, tais como encontros, seminários, congressos, oficinas, exposições, festivais, feiras, etc., além da execução de ações em parceria com escolas públicas e comunidades urbanas e rurais, envolvendo professores e alunos.</w:t>
      </w:r>
    </w:p>
    <w:p w:rsidR="00762C45" w:rsidRDefault="00303B66">
      <w:pPr>
        <w:tabs>
          <w:tab w:val="left" w:pos="5103"/>
        </w:tabs>
        <w:ind w:firstLine="567"/>
        <w:jc w:val="both"/>
        <w:rPr>
          <w:sz w:val="22"/>
          <w:szCs w:val="22"/>
        </w:rPr>
      </w:pPr>
      <w:r>
        <w:rPr>
          <w:sz w:val="22"/>
          <w:szCs w:val="22"/>
        </w:rPr>
        <w:t>Em 2012, foi celebrado um Convênio de Cooperação Técnica com a Sociedade Literária e Beneficente “Cinco de Agosto”, por meio do qual foi possível instalar a biblioteca do Polo conjuntamente com essa entidade e catalogar o seu acervo bibliográfico (livros, periódicos, folhetos, revistas, jornais, etc.), para atender a demanda da comunidade acadêmica e da sociedade vigiense, além da utilização do seu auditório, com capacidade para 80 pessoas, para realização de eventos.</w:t>
      </w:r>
    </w:p>
    <w:p w:rsidR="00762C45" w:rsidRDefault="00303B66">
      <w:pPr>
        <w:tabs>
          <w:tab w:val="left" w:pos="142"/>
          <w:tab w:val="left" w:pos="1134"/>
        </w:tabs>
        <w:ind w:firstLine="567"/>
        <w:jc w:val="both"/>
        <w:rPr>
          <w:sz w:val="22"/>
          <w:szCs w:val="22"/>
        </w:rPr>
      </w:pPr>
      <w:r>
        <w:rPr>
          <w:color w:val="000000"/>
          <w:sz w:val="22"/>
          <w:szCs w:val="22"/>
        </w:rPr>
        <w:t xml:space="preserve">De 2013 até 2015, por determinação superior da Reitoria do IFPA, o Polo passou a ser tutelado pelo </w:t>
      </w:r>
      <w:r>
        <w:rPr>
          <w:i/>
          <w:iCs/>
          <w:color w:val="000000"/>
          <w:sz w:val="22"/>
          <w:szCs w:val="22"/>
        </w:rPr>
        <w:t>Campus</w:t>
      </w:r>
      <w:r>
        <w:rPr>
          <w:color w:val="000000"/>
          <w:sz w:val="22"/>
          <w:szCs w:val="22"/>
        </w:rPr>
        <w:t xml:space="preserve"> Castanhal o que ocasionou uma série de dificuldades, principalmente relacionadas às atividades acadêmicas que tiveram como principal consequência, o aumento significativo da evasão de alunos, decorrente da insuficiência de professores para ministrar os componentes curriculares dos cursos ofertados, carência de materiais de consumo, equipamentos e materiais permanentes, deficiência de infraestrutura de transporte e atraso na contratação de pessoal de apoio administrativo. </w:t>
      </w:r>
    </w:p>
    <w:p w:rsidR="00762C45" w:rsidRDefault="00303B66">
      <w:pPr>
        <w:tabs>
          <w:tab w:val="left" w:pos="1134"/>
        </w:tabs>
        <w:ind w:firstLine="567"/>
        <w:jc w:val="both"/>
        <w:rPr>
          <w:sz w:val="22"/>
          <w:szCs w:val="22"/>
        </w:rPr>
      </w:pPr>
      <w:r>
        <w:rPr>
          <w:sz w:val="22"/>
          <w:szCs w:val="22"/>
        </w:rPr>
        <w:t xml:space="preserve">Esses problemas foram atenuados a partir do apoio adicional dado pela reitoria, através da contratação de servidores docentes e técnicos administrativos e de serviços terceirizados e, em especial, da implantação da Diretoria de Ensino, da Coordenação Adjunta do PRONATEC, das Coordenações dos Cursos de Informática e Recursos Pesqueiros e da ampliação do seu quadro de servidores que passou a ser constituído de 5 docentes e 2 técnicos administrativos, incluindo 1 Analista de Sistemas e 1 Assistente de Aluno. </w:t>
      </w:r>
    </w:p>
    <w:p w:rsidR="00762C45" w:rsidRDefault="00303B66">
      <w:pPr>
        <w:tabs>
          <w:tab w:val="left" w:pos="1134"/>
        </w:tabs>
        <w:ind w:firstLine="567"/>
        <w:jc w:val="both"/>
        <w:rPr>
          <w:sz w:val="22"/>
          <w:szCs w:val="22"/>
        </w:rPr>
      </w:pPr>
      <w:r>
        <w:rPr>
          <w:sz w:val="22"/>
          <w:szCs w:val="22"/>
        </w:rPr>
        <w:t xml:space="preserve">Em maio de 2014 foi iniciada a construção da sede definitiva do </w:t>
      </w:r>
      <w:r>
        <w:rPr>
          <w:i/>
          <w:iCs/>
          <w:sz w:val="22"/>
          <w:szCs w:val="22"/>
        </w:rPr>
        <w:t>campus</w:t>
      </w:r>
      <w:r>
        <w:rPr>
          <w:sz w:val="22"/>
          <w:szCs w:val="22"/>
        </w:rPr>
        <w:t xml:space="preserve">, em uma área de 10.000 m² doada pela Prefeitura, concluída em setembro de 2016, a qual é composta por um bloco pedagógico de 2.430 m², 14 salas de aula, 1 pórtico de 105 m² e um muro com 800 m de extensão, cujo custo total da obra foi de aproximadamente R$ 3.536.350,00 (três milhões, quinhentos e trinta e seis mil, trezentos e cinquenta reais). </w:t>
      </w:r>
    </w:p>
    <w:p w:rsidR="00762C45" w:rsidRDefault="00303B66">
      <w:pPr>
        <w:tabs>
          <w:tab w:val="left" w:pos="1134"/>
        </w:tabs>
        <w:ind w:firstLine="567"/>
        <w:jc w:val="both"/>
        <w:rPr>
          <w:sz w:val="22"/>
          <w:szCs w:val="22"/>
        </w:rPr>
      </w:pPr>
      <w:r>
        <w:rPr>
          <w:sz w:val="22"/>
          <w:szCs w:val="22"/>
        </w:rPr>
        <w:t xml:space="preserve">Na área da Informática o </w:t>
      </w:r>
      <w:r>
        <w:rPr>
          <w:i/>
          <w:iCs/>
          <w:sz w:val="22"/>
          <w:szCs w:val="22"/>
        </w:rPr>
        <w:t>Campus</w:t>
      </w:r>
      <w:r>
        <w:rPr>
          <w:sz w:val="22"/>
          <w:szCs w:val="22"/>
        </w:rPr>
        <w:t xml:space="preserve"> Avançado Vigia é servido pela Internet Banda Larga do NavegaPará e por um link de fibra ótica da RNP (Rede Nacional de Pesquisa), possuindo todos os equipamentos necessários para Video Conferência, disponibilizados em 2014 pela reitoria do IFPA.</w:t>
      </w:r>
    </w:p>
    <w:p w:rsidR="00762C45" w:rsidRDefault="00303B66">
      <w:pPr>
        <w:ind w:firstLine="567"/>
        <w:jc w:val="both"/>
        <w:rPr>
          <w:sz w:val="22"/>
          <w:szCs w:val="22"/>
        </w:rPr>
      </w:pPr>
      <w:r>
        <w:rPr>
          <w:sz w:val="22"/>
          <w:szCs w:val="22"/>
        </w:rPr>
        <w:t>A Extensão representou o macroprocesso finalístico através do qual o Polo promoveu</w:t>
      </w:r>
      <w:r>
        <w:rPr>
          <w:color w:val="FF0000"/>
          <w:sz w:val="22"/>
          <w:szCs w:val="22"/>
        </w:rPr>
        <w:t xml:space="preserve"> </w:t>
      </w:r>
      <w:r>
        <w:rPr>
          <w:sz w:val="22"/>
          <w:szCs w:val="22"/>
        </w:rPr>
        <w:t xml:space="preserve">ações </w:t>
      </w:r>
      <w:r>
        <w:rPr>
          <w:color w:val="000000"/>
          <w:sz w:val="22"/>
          <w:szCs w:val="22"/>
        </w:rPr>
        <w:t xml:space="preserve">integradas com o ensino e a pesquisa, </w:t>
      </w:r>
      <w:r>
        <w:rPr>
          <w:sz w:val="22"/>
          <w:szCs w:val="22"/>
        </w:rPr>
        <w:t>possibilitando o seu intercâmbio com a sociedade em geral destacando-se e</w:t>
      </w:r>
      <w:r>
        <w:rPr>
          <w:color w:val="000000"/>
          <w:sz w:val="22"/>
          <w:szCs w:val="22"/>
        </w:rPr>
        <w:t xml:space="preserve">ntre outras, as seguintes: </w:t>
      </w:r>
    </w:p>
    <w:p w:rsidR="00762C45" w:rsidRDefault="00303B66">
      <w:pPr>
        <w:numPr>
          <w:ilvl w:val="0"/>
          <w:numId w:val="1"/>
        </w:numPr>
        <w:tabs>
          <w:tab w:val="left" w:pos="142"/>
        </w:tabs>
        <w:ind w:left="0" w:hanging="11"/>
        <w:jc w:val="both"/>
        <w:rPr>
          <w:sz w:val="22"/>
          <w:szCs w:val="22"/>
        </w:rPr>
      </w:pPr>
      <w:r>
        <w:rPr>
          <w:color w:val="000000"/>
          <w:sz w:val="22"/>
          <w:szCs w:val="22"/>
        </w:rPr>
        <w:t xml:space="preserve">organização e execução do III Encontro Desportivo dos </w:t>
      </w:r>
      <w:r>
        <w:rPr>
          <w:i/>
          <w:color w:val="000000"/>
          <w:sz w:val="22"/>
          <w:szCs w:val="22"/>
        </w:rPr>
        <w:t>Campi</w:t>
      </w:r>
      <w:r>
        <w:rPr>
          <w:color w:val="000000"/>
          <w:sz w:val="22"/>
          <w:szCs w:val="22"/>
        </w:rPr>
        <w:t xml:space="preserve"> do IFPA (III EDCIFPA) que teve por tema </w:t>
      </w:r>
      <w:r>
        <w:rPr>
          <w:i/>
          <w:iCs/>
          <w:color w:val="000000"/>
          <w:sz w:val="22"/>
          <w:szCs w:val="22"/>
        </w:rPr>
        <w:lastRenderedPageBreak/>
        <w:t>“Praticando esporte com alegria, despertando novos talentos”</w:t>
      </w:r>
      <w:r>
        <w:rPr>
          <w:color w:val="000000"/>
          <w:sz w:val="22"/>
          <w:szCs w:val="22"/>
        </w:rPr>
        <w:t>, no período de 29 de março a 01 de abril de 2012, com 501 participantes, 446 alunos atletas e 12 delegações;</w:t>
      </w:r>
    </w:p>
    <w:p w:rsidR="00762C45" w:rsidRDefault="00303B66">
      <w:pPr>
        <w:numPr>
          <w:ilvl w:val="0"/>
          <w:numId w:val="1"/>
        </w:numPr>
        <w:tabs>
          <w:tab w:val="left" w:pos="142"/>
        </w:tabs>
        <w:ind w:left="0" w:hanging="11"/>
        <w:jc w:val="both"/>
        <w:rPr>
          <w:sz w:val="22"/>
          <w:szCs w:val="22"/>
        </w:rPr>
      </w:pPr>
      <w:r>
        <w:rPr>
          <w:color w:val="000000"/>
          <w:sz w:val="22"/>
          <w:szCs w:val="22"/>
        </w:rPr>
        <w:t xml:space="preserve">participação de alunos atletas em várias modalidades em eventos esportivos internos promovidos pelo IFPA; </w:t>
      </w:r>
    </w:p>
    <w:p w:rsidR="00762C45" w:rsidRDefault="00303B66">
      <w:pPr>
        <w:numPr>
          <w:ilvl w:val="0"/>
          <w:numId w:val="1"/>
        </w:numPr>
        <w:tabs>
          <w:tab w:val="left" w:pos="142"/>
        </w:tabs>
        <w:ind w:left="0" w:hanging="11"/>
        <w:jc w:val="both"/>
        <w:rPr>
          <w:sz w:val="22"/>
          <w:szCs w:val="22"/>
        </w:rPr>
      </w:pPr>
      <w:r>
        <w:rPr>
          <w:color w:val="000000"/>
          <w:sz w:val="22"/>
          <w:szCs w:val="22"/>
        </w:rPr>
        <w:t>participação de alunos e professores em eventos de caráter técnico e científico (congressos, encontros, simpósios, etc.) com apresentação de trabalhos através de artigos, resumos e painéis;</w:t>
      </w:r>
    </w:p>
    <w:p w:rsidR="00762C45" w:rsidRDefault="00303B66">
      <w:pPr>
        <w:numPr>
          <w:ilvl w:val="0"/>
          <w:numId w:val="1"/>
        </w:numPr>
        <w:tabs>
          <w:tab w:val="left" w:pos="142"/>
        </w:tabs>
        <w:ind w:left="0" w:hanging="11"/>
        <w:jc w:val="both"/>
        <w:rPr>
          <w:sz w:val="22"/>
          <w:szCs w:val="22"/>
        </w:rPr>
      </w:pPr>
      <w:r>
        <w:rPr>
          <w:color w:val="000000"/>
          <w:sz w:val="22"/>
          <w:szCs w:val="22"/>
        </w:rPr>
        <w:t>promoção de eventos (oficinas, feiras, exposições, palestras, workshops, festivais, etc.), organizados por professores e alunos dos cursos ofertados pelo</w:t>
      </w:r>
      <w:r>
        <w:rPr>
          <w:iCs/>
          <w:color w:val="000000"/>
          <w:sz w:val="22"/>
          <w:szCs w:val="22"/>
        </w:rPr>
        <w:t xml:space="preserve"> Polo;</w:t>
      </w:r>
      <w:r>
        <w:rPr>
          <w:color w:val="000000"/>
          <w:sz w:val="22"/>
          <w:szCs w:val="22"/>
        </w:rPr>
        <w:t xml:space="preserve"> </w:t>
      </w:r>
    </w:p>
    <w:p w:rsidR="00762C45" w:rsidRDefault="00303B66">
      <w:pPr>
        <w:numPr>
          <w:ilvl w:val="0"/>
          <w:numId w:val="1"/>
        </w:numPr>
        <w:tabs>
          <w:tab w:val="left" w:pos="142"/>
        </w:tabs>
        <w:ind w:left="0" w:hanging="11"/>
        <w:jc w:val="both"/>
        <w:rPr>
          <w:sz w:val="22"/>
          <w:szCs w:val="22"/>
        </w:rPr>
      </w:pPr>
      <w:r>
        <w:rPr>
          <w:color w:val="000000"/>
          <w:sz w:val="22"/>
          <w:szCs w:val="22"/>
        </w:rPr>
        <w:t xml:space="preserve">promoção e/ ou participação em projetos submetidos e aprovados através de editais de pesquisa e extensão envolvendo outros </w:t>
      </w:r>
      <w:r>
        <w:rPr>
          <w:i/>
          <w:iCs/>
          <w:color w:val="000000"/>
          <w:sz w:val="22"/>
          <w:szCs w:val="22"/>
        </w:rPr>
        <w:t>campi</w:t>
      </w:r>
      <w:r>
        <w:rPr>
          <w:color w:val="000000"/>
          <w:sz w:val="22"/>
          <w:szCs w:val="22"/>
        </w:rPr>
        <w:t xml:space="preserve"> do IFPA, instituições públicas como UFPA e UFRA, organizações sociais e de classe;</w:t>
      </w:r>
    </w:p>
    <w:p w:rsidR="00762C45" w:rsidRDefault="00303B66">
      <w:pPr>
        <w:numPr>
          <w:ilvl w:val="0"/>
          <w:numId w:val="1"/>
        </w:numPr>
        <w:tabs>
          <w:tab w:val="left" w:pos="142"/>
        </w:tabs>
        <w:ind w:left="0" w:hanging="11"/>
        <w:jc w:val="both"/>
        <w:rPr>
          <w:sz w:val="22"/>
          <w:szCs w:val="22"/>
        </w:rPr>
      </w:pPr>
      <w:r>
        <w:rPr>
          <w:color w:val="000000"/>
          <w:sz w:val="22"/>
          <w:szCs w:val="22"/>
        </w:rPr>
        <w:t>promoção de atividades como cine-art, natal solidário, doação de livros e brinquedos etc., em apoio a crianças de escolas de comunidades rurais e urbanas de Vigia;</w:t>
      </w:r>
    </w:p>
    <w:p w:rsidR="00762C45" w:rsidRDefault="00303B66">
      <w:pPr>
        <w:numPr>
          <w:ilvl w:val="0"/>
          <w:numId w:val="1"/>
        </w:numPr>
        <w:tabs>
          <w:tab w:val="left" w:pos="142"/>
        </w:tabs>
        <w:ind w:left="0" w:hanging="11"/>
        <w:jc w:val="both"/>
        <w:rPr>
          <w:sz w:val="22"/>
          <w:szCs w:val="22"/>
        </w:rPr>
      </w:pPr>
      <w:r>
        <w:rPr>
          <w:color w:val="000000"/>
          <w:sz w:val="22"/>
          <w:szCs w:val="22"/>
        </w:rPr>
        <w:t xml:space="preserve">participação da Campanha de enfrentamento ao mosquito </w:t>
      </w:r>
      <w:r>
        <w:rPr>
          <w:i/>
          <w:iCs/>
          <w:color w:val="000000"/>
          <w:sz w:val="22"/>
          <w:szCs w:val="22"/>
        </w:rPr>
        <w:t>Aedes aegypti</w:t>
      </w:r>
      <w:r>
        <w:rPr>
          <w:color w:val="000000"/>
          <w:sz w:val="22"/>
          <w:szCs w:val="22"/>
        </w:rPr>
        <w:t>, coordenada pela Pró-reitoria de Extensão e promovida pelo MEC;</w:t>
      </w:r>
    </w:p>
    <w:p w:rsidR="00762C45" w:rsidRDefault="00303B66">
      <w:pPr>
        <w:numPr>
          <w:ilvl w:val="0"/>
          <w:numId w:val="1"/>
        </w:numPr>
        <w:tabs>
          <w:tab w:val="left" w:pos="142"/>
        </w:tabs>
        <w:ind w:left="0" w:hanging="11"/>
        <w:jc w:val="both"/>
        <w:rPr>
          <w:sz w:val="22"/>
          <w:szCs w:val="22"/>
        </w:rPr>
      </w:pPr>
      <w:r>
        <w:rPr>
          <w:color w:val="000000"/>
          <w:sz w:val="22"/>
          <w:szCs w:val="22"/>
        </w:rPr>
        <w:t>realização de estudos de acompanhamento das atividades em execução pelos egressos do CAV, com vistas a propor ações voltadas à melhoria da formação acadêmica em conformidade com as demandas da sociedade;</w:t>
      </w:r>
    </w:p>
    <w:p w:rsidR="00762C45" w:rsidRDefault="00303B66">
      <w:pPr>
        <w:numPr>
          <w:ilvl w:val="0"/>
          <w:numId w:val="1"/>
        </w:numPr>
        <w:tabs>
          <w:tab w:val="left" w:pos="142"/>
        </w:tabs>
        <w:ind w:left="0" w:hanging="11"/>
        <w:jc w:val="both"/>
        <w:rPr>
          <w:sz w:val="22"/>
          <w:szCs w:val="22"/>
        </w:rPr>
      </w:pPr>
      <w:r>
        <w:rPr>
          <w:color w:val="000000"/>
          <w:sz w:val="22"/>
          <w:szCs w:val="22"/>
        </w:rPr>
        <w:t xml:space="preserve">realização de uma Audiência Pública com o objetivo de debater e discutir o Diagnóstico dos Arranjos Produtivos, Sociais e Culturais dos municípios da região de abrangência do </w:t>
      </w:r>
      <w:r>
        <w:rPr>
          <w:i/>
          <w:color w:val="000000"/>
          <w:sz w:val="22"/>
          <w:szCs w:val="22"/>
        </w:rPr>
        <w:t>Campus</w:t>
      </w:r>
      <w:r>
        <w:rPr>
          <w:color w:val="000000"/>
          <w:sz w:val="22"/>
          <w:szCs w:val="22"/>
        </w:rPr>
        <w:t xml:space="preserve"> Avançado Vigia</w:t>
      </w:r>
      <w:r>
        <w:rPr>
          <w:i/>
          <w:iCs/>
          <w:color w:val="000000"/>
          <w:sz w:val="22"/>
          <w:szCs w:val="22"/>
        </w:rPr>
        <w:t>.</w:t>
      </w:r>
    </w:p>
    <w:p w:rsidR="00762C45" w:rsidRDefault="00303B66">
      <w:pPr>
        <w:tabs>
          <w:tab w:val="left" w:pos="142"/>
        </w:tabs>
        <w:ind w:firstLine="567"/>
        <w:jc w:val="both"/>
        <w:rPr>
          <w:sz w:val="22"/>
          <w:szCs w:val="22"/>
        </w:rPr>
      </w:pPr>
      <w:r>
        <w:rPr>
          <w:color w:val="000000"/>
          <w:sz w:val="22"/>
          <w:szCs w:val="22"/>
        </w:rPr>
        <w:t xml:space="preserve">Finalmente, considera-se importante ressaltar que todo o trabalho desenvolvido pelo Polo Avançado de Vigia de Nazaré </w:t>
      </w:r>
      <w:r>
        <w:rPr>
          <w:dstrike/>
          <w:color w:val="000000"/>
          <w:sz w:val="22"/>
          <w:szCs w:val="22"/>
        </w:rPr>
        <w:t>é</w:t>
      </w:r>
      <w:r>
        <w:rPr>
          <w:color w:val="000000"/>
          <w:sz w:val="22"/>
          <w:szCs w:val="22"/>
        </w:rPr>
        <w:t xml:space="preserve"> fruto de um esforço coletivo envolvendo gestores, educadores, servidores, educandos do IFPA e instituições parceiras, cujos resultados o credenciaram a ser transformado em </w:t>
      </w:r>
      <w:r>
        <w:rPr>
          <w:i/>
          <w:iCs/>
          <w:color w:val="000000"/>
          <w:sz w:val="22"/>
          <w:szCs w:val="22"/>
        </w:rPr>
        <w:t>Campus</w:t>
      </w:r>
      <w:r>
        <w:rPr>
          <w:color w:val="000000"/>
          <w:sz w:val="22"/>
          <w:szCs w:val="22"/>
        </w:rPr>
        <w:t xml:space="preserve"> Avançado, o que foi efetivado através da Portaria nº 505 de 10 de junho de 2014 do Ministério da Educação, publicada no DOU em 11.06.2014 que, de acordo com a Portaria nº 1.291, publicada no DOU em 31.12.2013, no seu Art. 3º, alínea II, “</w:t>
      </w:r>
      <w:r>
        <w:rPr>
          <w:i/>
          <w:iCs/>
          <w:color w:val="000000"/>
          <w:sz w:val="22"/>
          <w:szCs w:val="22"/>
        </w:rPr>
        <w:t>se destina ao desenvolvimento da educação profissional por meio de atividades de ensino e extensão, circunscritas a áreas temáticas ou especializadas, prioritariamente por meio da oferta de cursos técnicos e de cursos de formação inicial e continuada”.</w:t>
      </w:r>
      <w:r>
        <w:rPr>
          <w:color w:val="000000"/>
          <w:sz w:val="22"/>
          <w:szCs w:val="22"/>
        </w:rPr>
        <w:t xml:space="preserve"> </w:t>
      </w:r>
    </w:p>
    <w:p w:rsidR="00762C45" w:rsidRDefault="00762C45">
      <w:pPr>
        <w:tabs>
          <w:tab w:val="left" w:pos="142"/>
        </w:tabs>
        <w:jc w:val="both"/>
        <w:rPr>
          <w:b/>
          <w:bCs/>
          <w:color w:val="000000"/>
          <w:sz w:val="22"/>
          <w:szCs w:val="22"/>
        </w:rPr>
      </w:pPr>
    </w:p>
    <w:p w:rsidR="00762C45" w:rsidRDefault="00303B66">
      <w:pPr>
        <w:pStyle w:val="Ttulo2"/>
        <w:rPr>
          <w:rFonts w:ascii="Times New Roman" w:hAnsi="Times New Roman" w:cs="Times New Roman"/>
          <w:sz w:val="22"/>
          <w:szCs w:val="22"/>
        </w:rPr>
      </w:pPr>
      <w:bookmarkStart w:id="7" w:name="_Toc474391161"/>
      <w:r>
        <w:rPr>
          <w:rFonts w:ascii="Times New Roman" w:hAnsi="Times New Roman" w:cs="Times New Roman"/>
          <w:b/>
          <w:bCs/>
          <w:color w:val="000000"/>
          <w:sz w:val="22"/>
          <w:szCs w:val="22"/>
        </w:rPr>
        <w:t xml:space="preserve">1.5 Objetivos e Metas do </w:t>
      </w:r>
      <w:r>
        <w:rPr>
          <w:rFonts w:ascii="Times New Roman" w:hAnsi="Times New Roman" w:cs="Times New Roman"/>
          <w:b/>
          <w:bCs/>
          <w:i/>
          <w:color w:val="000000"/>
          <w:sz w:val="22"/>
          <w:szCs w:val="22"/>
        </w:rPr>
        <w:t>Campus</w:t>
      </w:r>
      <w:r>
        <w:rPr>
          <w:rFonts w:ascii="Times New Roman" w:hAnsi="Times New Roman" w:cs="Times New Roman"/>
          <w:b/>
          <w:bCs/>
          <w:color w:val="000000"/>
          <w:sz w:val="22"/>
          <w:szCs w:val="22"/>
        </w:rPr>
        <w:t xml:space="preserve"> Avançado Vigia</w:t>
      </w:r>
      <w:bookmarkEnd w:id="7"/>
      <w:r>
        <w:rPr>
          <w:rFonts w:ascii="Times New Roman" w:hAnsi="Times New Roman" w:cs="Times New Roman"/>
          <w:b/>
          <w:bCs/>
          <w:color w:val="000000"/>
          <w:sz w:val="22"/>
          <w:szCs w:val="22"/>
        </w:rPr>
        <w:t xml:space="preserve"> </w:t>
      </w:r>
    </w:p>
    <w:p w:rsidR="00762C45" w:rsidRDefault="00762C45">
      <w:pPr>
        <w:widowControl/>
        <w:ind w:firstLine="567"/>
        <w:jc w:val="both"/>
        <w:rPr>
          <w:color w:val="000000"/>
          <w:sz w:val="22"/>
          <w:szCs w:val="22"/>
        </w:rPr>
      </w:pPr>
    </w:p>
    <w:p w:rsidR="00762C45" w:rsidRDefault="00303B66">
      <w:pPr>
        <w:tabs>
          <w:tab w:val="left" w:pos="142"/>
        </w:tabs>
        <w:ind w:firstLine="567"/>
        <w:jc w:val="both"/>
        <w:rPr>
          <w:color w:val="000000"/>
          <w:sz w:val="22"/>
          <w:szCs w:val="22"/>
        </w:rPr>
        <w:sectPr w:rsidR="00762C45">
          <w:pgSz w:w="11906" w:h="16838"/>
          <w:pgMar w:top="708" w:right="1080" w:bottom="1440" w:left="1080" w:header="0" w:footer="0" w:gutter="0"/>
          <w:cols w:space="720"/>
          <w:formProt w:val="0"/>
          <w:docGrid w:linePitch="360" w:charSpace="-6145"/>
        </w:sectPr>
      </w:pPr>
      <w:r>
        <w:rPr>
          <w:color w:val="000000"/>
          <w:sz w:val="22"/>
          <w:szCs w:val="22"/>
        </w:rPr>
        <w:t xml:space="preserve">Tendo como referência as 5 (cinco) dimensões </w:t>
      </w:r>
      <w:r>
        <w:rPr>
          <w:rFonts w:eastAsia="Times New Roman"/>
          <w:sz w:val="22"/>
          <w:szCs w:val="22"/>
        </w:rPr>
        <w:t xml:space="preserve">de categorias estabelecidas no PDI do IFPA, para definir suas ações e, assim, propor o que a instituição quer atingir em cada uma dessas dimensões estratégicas, estão relacionados no </w:t>
      </w:r>
      <w:r>
        <w:rPr>
          <w:color w:val="000000"/>
          <w:sz w:val="22"/>
          <w:szCs w:val="22"/>
        </w:rPr>
        <w:t xml:space="preserve">Quadro 1 os objetivos, metas e indicadores do </w:t>
      </w:r>
      <w:r>
        <w:rPr>
          <w:i/>
          <w:color w:val="000000"/>
          <w:sz w:val="22"/>
          <w:szCs w:val="22"/>
        </w:rPr>
        <w:t>Campus</w:t>
      </w:r>
      <w:r>
        <w:rPr>
          <w:color w:val="000000"/>
          <w:sz w:val="22"/>
          <w:szCs w:val="22"/>
        </w:rPr>
        <w:t xml:space="preserve"> Avançado Vigia para o triênio 2016-2018, com os setores responsáveis pela sua execução</w:t>
      </w:r>
    </w:p>
    <w:p w:rsidR="00762C45" w:rsidRDefault="00303B66">
      <w:pPr>
        <w:pStyle w:val="Legenda"/>
        <w:keepNext/>
        <w:spacing w:before="0" w:after="0" w:line="240" w:lineRule="auto"/>
        <w:ind w:left="0" w:firstLine="0"/>
        <w:jc w:val="center"/>
      </w:pPr>
      <w:bookmarkStart w:id="8" w:name="_Toc472974279"/>
      <w:bookmarkStart w:id="9" w:name="_Toc474391109"/>
      <w:r>
        <w:rPr>
          <w:rFonts w:ascii="Times New Roman" w:hAnsi="Times New Roman" w:cs="Times New Roman"/>
          <w:b/>
          <w:i w:val="0"/>
          <w:sz w:val="22"/>
          <w:szCs w:val="22"/>
        </w:rPr>
        <w:lastRenderedPageBreak/>
        <w:t xml:space="preserve">Quadro </w:t>
      </w:r>
      <w:r>
        <w:rPr>
          <w:rFonts w:ascii="Times New Roman" w:hAnsi="Times New Roman" w:cs="Times New Roman"/>
          <w:b/>
          <w:i w:val="0"/>
          <w:sz w:val="22"/>
          <w:szCs w:val="22"/>
        </w:rPr>
        <w:fldChar w:fldCharType="begin"/>
      </w:r>
      <w:r>
        <w:instrText>SEQ Quadro \* ARABIC</w:instrText>
      </w:r>
      <w:r>
        <w:fldChar w:fldCharType="separate"/>
      </w:r>
      <w:r>
        <w:rPr>
          <w:noProof/>
        </w:rPr>
        <w:t>1</w:t>
      </w:r>
      <w:r>
        <w:fldChar w:fldCharType="end"/>
      </w:r>
      <w:bookmarkEnd w:id="8"/>
      <w:r>
        <w:rPr>
          <w:rFonts w:ascii="Times New Roman" w:hAnsi="Times New Roman" w:cs="Times New Roman"/>
          <w:b/>
          <w:i w:val="0"/>
          <w:sz w:val="22"/>
          <w:szCs w:val="22"/>
        </w:rPr>
        <w:t xml:space="preserve">. Objetivos, metas, indicadores e estratégias do </w:t>
      </w:r>
      <w:r>
        <w:rPr>
          <w:rFonts w:ascii="Times New Roman" w:hAnsi="Times New Roman" w:cs="Times New Roman"/>
          <w:b/>
          <w:sz w:val="22"/>
          <w:szCs w:val="22"/>
        </w:rPr>
        <w:t>Campus</w:t>
      </w:r>
      <w:bookmarkEnd w:id="9"/>
      <w:r>
        <w:rPr>
          <w:rFonts w:ascii="Times New Roman" w:hAnsi="Times New Roman" w:cs="Times New Roman"/>
          <w:b/>
          <w:i w:val="0"/>
          <w:sz w:val="22"/>
          <w:szCs w:val="22"/>
        </w:rPr>
        <w:t xml:space="preserve"> Avançado Vigia definidos para o triênio 2016-2018</w:t>
      </w:r>
    </w:p>
    <w:tbl>
      <w:tblPr>
        <w:tblW w:w="15015" w:type="dxa"/>
        <w:tblInd w:w="-183" w:type="dxa"/>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0" w:type="dxa"/>
          <w:right w:w="70" w:type="dxa"/>
        </w:tblCellMar>
        <w:tblLook w:val="04A0" w:firstRow="1" w:lastRow="0" w:firstColumn="1" w:lastColumn="0" w:noHBand="0" w:noVBand="1"/>
      </w:tblPr>
      <w:tblGrid>
        <w:gridCol w:w="2039"/>
        <w:gridCol w:w="2611"/>
        <w:gridCol w:w="556"/>
        <w:gridCol w:w="629"/>
        <w:gridCol w:w="630"/>
        <w:gridCol w:w="1864"/>
        <w:gridCol w:w="5284"/>
        <w:gridCol w:w="1402"/>
      </w:tblGrid>
      <w:tr w:rsidR="00762C45" w:rsidTr="00303B66">
        <w:trPr>
          <w:trHeight w:val="300"/>
        </w:trPr>
        <w:tc>
          <w:tcPr>
            <w:tcW w:w="2039"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pPr>
            <w:r>
              <w:rPr>
                <w:rFonts w:eastAsia="Times New Roman"/>
                <w:b/>
                <w:bCs/>
                <w:sz w:val="20"/>
                <w:szCs w:val="20"/>
              </w:rPr>
              <w:t>Objetivo</w:t>
            </w:r>
          </w:p>
        </w:tc>
        <w:tc>
          <w:tcPr>
            <w:tcW w:w="2611"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pPr>
            <w:r>
              <w:rPr>
                <w:rFonts w:eastAsia="Times New Roman"/>
                <w:b/>
                <w:bCs/>
                <w:sz w:val="20"/>
                <w:szCs w:val="20"/>
              </w:rPr>
              <w:t>Metas</w:t>
            </w:r>
          </w:p>
        </w:tc>
        <w:tc>
          <w:tcPr>
            <w:tcW w:w="1815" w:type="dxa"/>
            <w:gridSpan w:val="3"/>
            <w:tcBorders>
              <w:top w:val="single" w:sz="4" w:space="0" w:color="00000A"/>
              <w:left w:val="single" w:sz="4" w:space="0" w:color="00000A"/>
              <w:bottom w:val="single" w:sz="4" w:space="0" w:color="00000A"/>
              <w:right w:val="single" w:sz="4" w:space="0" w:color="000001"/>
            </w:tcBorders>
            <w:shd w:val="clear" w:color="000000" w:fill="92D050"/>
            <w:tcMar>
              <w:left w:w="0" w:type="dxa"/>
            </w:tcMar>
            <w:vAlign w:val="center"/>
          </w:tcPr>
          <w:p w:rsidR="00762C45" w:rsidRDefault="00303B66">
            <w:pPr>
              <w:ind w:firstLine="20"/>
              <w:jc w:val="center"/>
            </w:pPr>
            <w:r>
              <w:rPr>
                <w:rFonts w:eastAsia="Times New Roman"/>
                <w:b/>
                <w:bCs/>
                <w:sz w:val="20"/>
                <w:szCs w:val="20"/>
              </w:rPr>
              <w:t>Ano</w:t>
            </w:r>
          </w:p>
        </w:tc>
        <w:tc>
          <w:tcPr>
            <w:tcW w:w="1864"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762C45">
            <w:pPr>
              <w:ind w:firstLine="20"/>
              <w:jc w:val="center"/>
              <w:rPr>
                <w:rFonts w:eastAsia="Times New Roman"/>
                <w:b/>
                <w:bCs/>
                <w:sz w:val="20"/>
                <w:szCs w:val="20"/>
              </w:rPr>
            </w:pPr>
          </w:p>
          <w:p w:rsidR="00762C45" w:rsidRDefault="00303B66">
            <w:pPr>
              <w:ind w:firstLine="20"/>
              <w:jc w:val="center"/>
            </w:pPr>
            <w:r>
              <w:rPr>
                <w:rFonts w:eastAsia="Times New Roman"/>
                <w:b/>
                <w:bCs/>
                <w:sz w:val="20"/>
                <w:szCs w:val="20"/>
              </w:rPr>
              <w:t>Indicadores</w:t>
            </w:r>
          </w:p>
          <w:p w:rsidR="00762C45" w:rsidRDefault="00762C45">
            <w:pPr>
              <w:ind w:firstLine="20"/>
              <w:jc w:val="center"/>
              <w:rPr>
                <w:rFonts w:eastAsia="Times New Roman"/>
                <w:b/>
                <w:bCs/>
                <w:sz w:val="20"/>
                <w:szCs w:val="20"/>
              </w:rPr>
            </w:pPr>
          </w:p>
        </w:tc>
        <w:tc>
          <w:tcPr>
            <w:tcW w:w="5284"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jc w:val="center"/>
            </w:pPr>
            <w:r>
              <w:rPr>
                <w:rFonts w:eastAsia="Times New Roman"/>
                <w:b/>
                <w:bCs/>
                <w:sz w:val="20"/>
                <w:szCs w:val="20"/>
              </w:rPr>
              <w:t>Estratégias</w:t>
            </w:r>
          </w:p>
        </w:tc>
        <w:tc>
          <w:tcPr>
            <w:tcW w:w="1402" w:type="dxa"/>
            <w:tcBorders>
              <w:top w:val="single" w:sz="4" w:space="0" w:color="00000A"/>
              <w:left w:val="single" w:sz="4" w:space="0" w:color="00000A"/>
              <w:bottom w:val="single" w:sz="4" w:space="0" w:color="000001"/>
              <w:right w:val="single" w:sz="4" w:space="0" w:color="00000A"/>
            </w:tcBorders>
            <w:shd w:val="clear" w:color="000000" w:fill="92D050"/>
            <w:vAlign w:val="center"/>
          </w:tcPr>
          <w:p w:rsidR="00762C45" w:rsidRDefault="00303B66">
            <w:pPr>
              <w:jc w:val="center"/>
            </w:pPr>
            <w:r>
              <w:rPr>
                <w:rFonts w:eastAsia="Times New Roman"/>
                <w:b/>
                <w:bCs/>
                <w:sz w:val="20"/>
                <w:szCs w:val="20"/>
              </w:rPr>
              <w:t>Responsável</w:t>
            </w:r>
          </w:p>
        </w:tc>
      </w:tr>
      <w:tr w:rsidR="00762C45" w:rsidTr="00303B66">
        <w:trPr>
          <w:trHeight w:val="274"/>
        </w:trPr>
        <w:tc>
          <w:tcPr>
            <w:tcW w:w="2039" w:type="dxa"/>
            <w:vMerge/>
            <w:tcBorders>
              <w:top w:val="single" w:sz="4" w:space="0" w:color="00000A"/>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rPr>
                <w:rFonts w:eastAsia="Times New Roman"/>
                <w:b/>
                <w:bCs/>
                <w:sz w:val="20"/>
                <w:szCs w:val="20"/>
              </w:rPr>
            </w:pPr>
          </w:p>
        </w:tc>
        <w:tc>
          <w:tcPr>
            <w:tcW w:w="2611" w:type="dxa"/>
            <w:vMerge/>
            <w:tcBorders>
              <w:top w:val="single" w:sz="4" w:space="0" w:color="00000A"/>
              <w:left w:val="single" w:sz="4" w:space="0" w:color="00000A"/>
              <w:bottom w:val="single" w:sz="4" w:space="0" w:color="000001"/>
              <w:right w:val="single" w:sz="4" w:space="0" w:color="00000A"/>
            </w:tcBorders>
            <w:shd w:val="clear" w:color="auto" w:fill="auto"/>
            <w:tcMar>
              <w:left w:w="0" w:type="dxa"/>
            </w:tcMar>
          </w:tcPr>
          <w:p w:rsidR="00762C45" w:rsidRDefault="00762C45">
            <w:pPr>
              <w:jc w:val="both"/>
              <w:rPr>
                <w:rFonts w:eastAsia="Times New Roman"/>
                <w:b/>
                <w:bCs/>
                <w:sz w:val="20"/>
                <w:szCs w:val="20"/>
              </w:rPr>
            </w:pPr>
          </w:p>
        </w:tc>
        <w:tc>
          <w:tcPr>
            <w:tcW w:w="556"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20"/>
                <w:szCs w:val="20"/>
              </w:rPr>
            </w:pPr>
            <w:r>
              <w:rPr>
                <w:rFonts w:eastAsia="Times New Roman"/>
                <w:b/>
                <w:bCs/>
                <w:sz w:val="20"/>
                <w:szCs w:val="20"/>
              </w:rPr>
              <w:t>2016</w:t>
            </w:r>
          </w:p>
        </w:tc>
        <w:tc>
          <w:tcPr>
            <w:tcW w:w="629"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right="-70"/>
              <w:jc w:val="center"/>
              <w:rPr>
                <w:rFonts w:eastAsia="Times New Roman"/>
                <w:b/>
                <w:bCs/>
                <w:sz w:val="20"/>
                <w:szCs w:val="20"/>
              </w:rPr>
            </w:pPr>
            <w:r>
              <w:rPr>
                <w:rFonts w:eastAsia="Times New Roman"/>
                <w:b/>
                <w:bCs/>
                <w:sz w:val="20"/>
                <w:szCs w:val="20"/>
              </w:rPr>
              <w:t>2017</w:t>
            </w:r>
          </w:p>
        </w:tc>
        <w:tc>
          <w:tcPr>
            <w:tcW w:w="630"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pPr>
            <w:r>
              <w:rPr>
                <w:rFonts w:eastAsia="Times New Roman"/>
                <w:b/>
                <w:bCs/>
                <w:sz w:val="20"/>
                <w:szCs w:val="20"/>
              </w:rPr>
              <w:t>2018</w:t>
            </w:r>
          </w:p>
        </w:tc>
        <w:tc>
          <w:tcPr>
            <w:tcW w:w="1864"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jc w:val="both"/>
              <w:rPr>
                <w:rFonts w:eastAsia="Times New Roman"/>
                <w:b/>
                <w:bCs/>
                <w:sz w:val="20"/>
                <w:szCs w:val="20"/>
              </w:rPr>
            </w:pPr>
          </w:p>
        </w:tc>
        <w:tc>
          <w:tcPr>
            <w:tcW w:w="5284" w:type="dxa"/>
            <w:vMerge/>
            <w:tcBorders>
              <w:top w:val="single" w:sz="4" w:space="0" w:color="000001"/>
              <w:left w:val="single" w:sz="4" w:space="0" w:color="00000A"/>
              <w:bottom w:val="single" w:sz="4" w:space="0" w:color="00000A"/>
              <w:right w:val="single" w:sz="4" w:space="0" w:color="00000A"/>
            </w:tcBorders>
            <w:shd w:val="clear" w:color="auto" w:fill="auto"/>
            <w:tcMar>
              <w:left w:w="0" w:type="dxa"/>
            </w:tcMar>
          </w:tcPr>
          <w:p w:rsidR="00762C45" w:rsidRDefault="00762C45">
            <w:pPr>
              <w:jc w:val="center"/>
              <w:rPr>
                <w:rFonts w:eastAsia="Times New Roman"/>
                <w:b/>
                <w:bCs/>
                <w:sz w:val="20"/>
                <w:szCs w:val="20"/>
              </w:rPr>
            </w:pPr>
          </w:p>
        </w:tc>
        <w:tc>
          <w:tcPr>
            <w:tcW w:w="1402" w:type="dxa"/>
            <w:tcBorders>
              <w:top w:val="single" w:sz="4" w:space="0" w:color="000001"/>
              <w:left w:val="single" w:sz="4" w:space="0" w:color="00000A"/>
              <w:bottom w:val="single" w:sz="4" w:space="0" w:color="00000A"/>
              <w:right w:val="single" w:sz="4" w:space="0" w:color="00000A"/>
            </w:tcBorders>
            <w:shd w:val="clear" w:color="auto" w:fill="auto"/>
            <w:tcMar>
              <w:left w:w="0" w:type="dxa"/>
            </w:tcMar>
          </w:tcPr>
          <w:p w:rsidR="00762C45" w:rsidRDefault="00762C45">
            <w:pPr>
              <w:jc w:val="center"/>
              <w:rPr>
                <w:rFonts w:eastAsia="Times New Roman"/>
                <w:b/>
                <w:bCs/>
                <w:sz w:val="20"/>
                <w:szCs w:val="20"/>
              </w:rPr>
            </w:pPr>
          </w:p>
        </w:tc>
      </w:tr>
      <w:tr w:rsidR="00762C45" w:rsidTr="00303B66">
        <w:trPr>
          <w:trHeight w:val="765"/>
        </w:trPr>
        <w:tc>
          <w:tcPr>
            <w:tcW w:w="2039"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jc w:val="both"/>
            </w:pPr>
            <w:r>
              <w:rPr>
                <w:rFonts w:eastAsia="Times New Roman"/>
                <w:b/>
                <w:bCs/>
                <w:sz w:val="20"/>
                <w:szCs w:val="20"/>
              </w:rPr>
              <w:t xml:space="preserve">Objetivo 1. </w:t>
            </w:r>
            <w:r>
              <w:rPr>
                <w:rFonts w:eastAsia="Times New Roman"/>
                <w:sz w:val="20"/>
                <w:szCs w:val="20"/>
              </w:rPr>
              <w:t>Consolidar e fortalecer os cursos ofertados</w:t>
            </w:r>
          </w:p>
        </w:tc>
        <w:tc>
          <w:tcPr>
            <w:tcW w:w="2611"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pPr>
            <w:r>
              <w:rPr>
                <w:rFonts w:eastAsia="Times New Roman"/>
                <w:b/>
                <w:bCs/>
                <w:sz w:val="20"/>
                <w:szCs w:val="20"/>
              </w:rPr>
              <w:t>META 1.</w:t>
            </w:r>
            <w:r>
              <w:rPr>
                <w:rFonts w:eastAsia="Times New Roman"/>
                <w:sz w:val="20"/>
                <w:szCs w:val="20"/>
              </w:rPr>
              <w:t xml:space="preserve"> Aprimorar a avaliação dos cursos, melhorando o Índice Geral de Curso (IGC)</w:t>
            </w:r>
          </w:p>
        </w:tc>
        <w:tc>
          <w:tcPr>
            <w:tcW w:w="556"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762C45">
            <w:pPr>
              <w:ind w:left="57" w:right="57"/>
              <w:jc w:val="right"/>
              <w:rPr>
                <w:rFonts w:eastAsia="Times New Roman"/>
                <w:sz w:val="20"/>
                <w:szCs w:val="20"/>
              </w:rPr>
            </w:pPr>
          </w:p>
        </w:tc>
        <w:tc>
          <w:tcPr>
            <w:tcW w:w="629"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762C45">
            <w:pPr>
              <w:ind w:left="57" w:right="57"/>
              <w:jc w:val="right"/>
              <w:rPr>
                <w:rFonts w:eastAsia="Times New Roman"/>
                <w:sz w:val="20"/>
                <w:szCs w:val="20"/>
              </w:rPr>
            </w:pPr>
          </w:p>
        </w:tc>
        <w:tc>
          <w:tcPr>
            <w:tcW w:w="630"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762C45">
            <w:pPr>
              <w:ind w:left="57" w:right="57"/>
              <w:jc w:val="right"/>
              <w:rPr>
                <w:rFonts w:eastAsia="Times New Roman"/>
                <w:sz w:val="20"/>
                <w:szCs w:val="20"/>
              </w:rPr>
            </w:pPr>
          </w:p>
        </w:tc>
        <w:tc>
          <w:tcPr>
            <w:tcW w:w="186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Índice Geral de Cursos (IGC)</w:t>
            </w:r>
          </w:p>
        </w:tc>
        <w:tc>
          <w:tcPr>
            <w:tcW w:w="528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 xml:space="preserve">Não se aplica a este </w:t>
            </w:r>
            <w:r>
              <w:rPr>
                <w:rFonts w:eastAsia="Times New Roman"/>
                <w:i/>
                <w:iCs/>
                <w:sz w:val="20"/>
                <w:szCs w:val="20"/>
              </w:rPr>
              <w:t xml:space="preserve">campus </w:t>
            </w:r>
          </w:p>
        </w:tc>
        <w:tc>
          <w:tcPr>
            <w:tcW w:w="1402"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center"/>
              <w:rPr>
                <w:rFonts w:eastAsia="Times New Roman"/>
                <w:sz w:val="20"/>
                <w:szCs w:val="20"/>
              </w:rPr>
            </w:pPr>
            <w:r>
              <w:rPr>
                <w:rFonts w:eastAsia="Times New Roman"/>
                <w:sz w:val="20"/>
                <w:szCs w:val="20"/>
              </w:rPr>
              <w:t>_</w:t>
            </w:r>
          </w:p>
        </w:tc>
      </w:tr>
      <w:tr w:rsidR="00762C45" w:rsidTr="00303B66">
        <w:trPr>
          <w:trHeight w:val="765"/>
        </w:trPr>
        <w:tc>
          <w:tcPr>
            <w:tcW w:w="2039"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jc w:val="center"/>
              <w:rPr>
                <w:rFonts w:eastAsia="Times New Roman"/>
                <w:sz w:val="20"/>
                <w:szCs w:val="20"/>
              </w:rPr>
            </w:pPr>
          </w:p>
        </w:tc>
        <w:tc>
          <w:tcPr>
            <w:tcW w:w="2611"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2. </w:t>
            </w:r>
            <w:r>
              <w:rPr>
                <w:rFonts w:eastAsia="Times New Roman"/>
                <w:sz w:val="20"/>
                <w:szCs w:val="20"/>
              </w:rPr>
              <w:t>Aprimorar a avaliação dos alunos, melhorando o seu desempenho no ENADE (Média das notas dos cursos no ENADE)</w:t>
            </w:r>
          </w:p>
        </w:tc>
        <w:tc>
          <w:tcPr>
            <w:tcW w:w="55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3</w:t>
            </w:r>
          </w:p>
        </w:tc>
        <w:tc>
          <w:tcPr>
            <w:tcW w:w="629"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3</w:t>
            </w:r>
          </w:p>
        </w:tc>
        <w:tc>
          <w:tcPr>
            <w:tcW w:w="630"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4</w:t>
            </w:r>
          </w:p>
        </w:tc>
        <w:tc>
          <w:tcPr>
            <w:tcW w:w="186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Média das notas dos cursos no ENADE</w:t>
            </w:r>
          </w:p>
        </w:tc>
        <w:tc>
          <w:tcPr>
            <w:tcW w:w="528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Motivar os alunos à participarem do ENADE, elevando o seu orgulho de pertencerem ao campus;</w:t>
            </w:r>
          </w:p>
          <w:p w:rsidR="00762C45" w:rsidRDefault="00303B66">
            <w:pPr>
              <w:ind w:left="57" w:right="57" w:firstLine="20"/>
              <w:jc w:val="both"/>
              <w:rPr>
                <w:rFonts w:eastAsia="Times New Roman"/>
                <w:sz w:val="20"/>
                <w:szCs w:val="20"/>
              </w:rPr>
            </w:pPr>
            <w:r>
              <w:rPr>
                <w:rFonts w:eastAsia="Times New Roman"/>
                <w:sz w:val="20"/>
                <w:szCs w:val="20"/>
              </w:rPr>
              <w:t>Realizar simulados ao longo do ano;</w:t>
            </w:r>
          </w:p>
          <w:p w:rsidR="00762C45" w:rsidRDefault="00303B66">
            <w:pPr>
              <w:ind w:left="57" w:right="57" w:firstLine="20"/>
              <w:jc w:val="both"/>
            </w:pPr>
            <w:r>
              <w:rPr>
                <w:sz w:val="20"/>
                <w:szCs w:val="20"/>
              </w:rPr>
              <w:t>Fazer com que o aluno entenda o porquê de se empenhar para fazer uma boa prova</w:t>
            </w:r>
            <w:r>
              <w:rPr>
                <w:rFonts w:eastAsia="Times New Roman"/>
                <w:sz w:val="20"/>
                <w:szCs w:val="20"/>
              </w:rPr>
              <w:t>;</w:t>
            </w:r>
          </w:p>
          <w:p w:rsidR="00762C45" w:rsidRDefault="00303B66">
            <w:pPr>
              <w:ind w:left="57" w:right="57" w:firstLine="20"/>
              <w:jc w:val="both"/>
            </w:pPr>
            <w:r>
              <w:rPr>
                <w:rFonts w:eastAsia="Times New Roman"/>
                <w:sz w:val="20"/>
                <w:szCs w:val="20"/>
              </w:rPr>
              <w:t>Realizar estudos sobre o desempenho dos alunos nas provas do ENADE.e evidenciar fragilidades de determinados temas</w:t>
            </w:r>
          </w:p>
        </w:tc>
        <w:tc>
          <w:tcPr>
            <w:tcW w:w="1402"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Diretoria de Ensino e Coordenações dos cursos</w:t>
            </w:r>
          </w:p>
        </w:tc>
      </w:tr>
      <w:tr w:rsidR="00762C45" w:rsidTr="00303B66">
        <w:trPr>
          <w:trHeight w:val="765"/>
        </w:trPr>
        <w:tc>
          <w:tcPr>
            <w:tcW w:w="2039"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jc w:val="center"/>
              <w:rPr>
                <w:rFonts w:eastAsia="Times New Roman"/>
                <w:sz w:val="20"/>
                <w:szCs w:val="20"/>
              </w:rPr>
            </w:pPr>
          </w:p>
        </w:tc>
        <w:tc>
          <w:tcPr>
            <w:tcW w:w="2611"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3. </w:t>
            </w:r>
            <w:r>
              <w:rPr>
                <w:rFonts w:eastAsia="Times New Roman"/>
                <w:sz w:val="20"/>
                <w:szCs w:val="20"/>
              </w:rPr>
              <w:t>Melhorar o conceito dos cursos ofertados</w:t>
            </w:r>
          </w:p>
        </w:tc>
        <w:tc>
          <w:tcPr>
            <w:tcW w:w="55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left="57" w:right="57"/>
              <w:jc w:val="right"/>
              <w:rPr>
                <w:rFonts w:eastAsia="Times New Roman"/>
                <w:sz w:val="20"/>
                <w:szCs w:val="20"/>
              </w:rPr>
            </w:pPr>
          </w:p>
        </w:tc>
        <w:tc>
          <w:tcPr>
            <w:tcW w:w="629"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left="57" w:right="57"/>
              <w:jc w:val="right"/>
              <w:rPr>
                <w:rFonts w:eastAsia="Times New Roman"/>
                <w:sz w:val="20"/>
                <w:szCs w:val="20"/>
              </w:rPr>
            </w:pPr>
          </w:p>
        </w:tc>
        <w:tc>
          <w:tcPr>
            <w:tcW w:w="630"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left="57" w:right="57"/>
              <w:jc w:val="right"/>
              <w:rPr>
                <w:rFonts w:eastAsia="Times New Roman"/>
                <w:sz w:val="20"/>
                <w:szCs w:val="20"/>
              </w:rPr>
            </w:pPr>
          </w:p>
        </w:tc>
        <w:tc>
          <w:tcPr>
            <w:tcW w:w="186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 xml:space="preserve">Média das notas das avaliações dos cursos realizadas </w:t>
            </w:r>
            <w:r>
              <w:rPr>
                <w:rFonts w:eastAsia="Times New Roman"/>
                <w:i/>
                <w:iCs/>
                <w:sz w:val="20"/>
                <w:szCs w:val="20"/>
              </w:rPr>
              <w:t>in loco.</w:t>
            </w:r>
          </w:p>
        </w:tc>
        <w:tc>
          <w:tcPr>
            <w:tcW w:w="528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 xml:space="preserve">Não se aplica a este </w:t>
            </w:r>
            <w:r>
              <w:rPr>
                <w:rFonts w:eastAsia="Times New Roman"/>
                <w:i/>
                <w:iCs/>
                <w:sz w:val="20"/>
                <w:szCs w:val="20"/>
              </w:rPr>
              <w:t>campus</w:t>
            </w:r>
          </w:p>
        </w:tc>
        <w:tc>
          <w:tcPr>
            <w:tcW w:w="1402"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center"/>
              <w:rPr>
                <w:rFonts w:eastAsia="Times New Roman"/>
                <w:sz w:val="20"/>
                <w:szCs w:val="20"/>
              </w:rPr>
            </w:pPr>
            <w:r>
              <w:rPr>
                <w:rFonts w:eastAsia="Times New Roman"/>
                <w:sz w:val="20"/>
                <w:szCs w:val="20"/>
              </w:rPr>
              <w:t>_</w:t>
            </w:r>
          </w:p>
        </w:tc>
      </w:tr>
      <w:tr w:rsidR="00762C45" w:rsidTr="00303B66">
        <w:trPr>
          <w:trHeight w:val="1020"/>
        </w:trPr>
        <w:tc>
          <w:tcPr>
            <w:tcW w:w="2039"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jc w:val="center"/>
              <w:rPr>
                <w:rFonts w:eastAsia="Times New Roman"/>
                <w:sz w:val="20"/>
                <w:szCs w:val="20"/>
              </w:rPr>
            </w:pPr>
          </w:p>
        </w:tc>
        <w:tc>
          <w:tcPr>
            <w:tcW w:w="2611"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4. </w:t>
            </w:r>
            <w:r>
              <w:rPr>
                <w:rFonts w:eastAsia="Times New Roman"/>
                <w:sz w:val="20"/>
                <w:szCs w:val="20"/>
              </w:rPr>
              <w:t>Integrar ações de Ensino, Pesquisa, Extensão e Inovação para atendimento e melhoria da qualidade da formação do corpo discente</w:t>
            </w:r>
          </w:p>
        </w:tc>
        <w:tc>
          <w:tcPr>
            <w:tcW w:w="55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2</w:t>
            </w:r>
          </w:p>
        </w:tc>
        <w:tc>
          <w:tcPr>
            <w:tcW w:w="629"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3</w:t>
            </w:r>
          </w:p>
        </w:tc>
        <w:tc>
          <w:tcPr>
            <w:tcW w:w="63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3</w:t>
            </w:r>
          </w:p>
        </w:tc>
        <w:tc>
          <w:tcPr>
            <w:tcW w:w="186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 xml:space="preserve">Fomento e implementação de políticas articuladas entre as atividades fim </w:t>
            </w:r>
          </w:p>
        </w:tc>
        <w:tc>
          <w:tcPr>
            <w:tcW w:w="528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sz w:val="20"/>
                <w:szCs w:val="20"/>
              </w:rPr>
              <w:t>Apoio à comunidade acadêmica através da participação em eventos de caráter técnico-científico como Congressos, Simpósios, Palestras, Seminários, etc.), com apresentação de trabalhos para a divulgação dos resultados das suas pesquisas</w:t>
            </w:r>
          </w:p>
        </w:tc>
        <w:tc>
          <w:tcPr>
            <w:tcW w:w="1402"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Diretoria de Ensino e Coordenação de Pesquisa e Extensão</w:t>
            </w:r>
          </w:p>
        </w:tc>
      </w:tr>
      <w:tr w:rsidR="00762C45" w:rsidTr="00303B66">
        <w:trPr>
          <w:trHeight w:val="1020"/>
        </w:trPr>
        <w:tc>
          <w:tcPr>
            <w:tcW w:w="2039"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jc w:val="center"/>
              <w:rPr>
                <w:rFonts w:eastAsia="Times New Roman"/>
                <w:sz w:val="20"/>
                <w:szCs w:val="20"/>
              </w:rPr>
            </w:pPr>
          </w:p>
        </w:tc>
        <w:tc>
          <w:tcPr>
            <w:tcW w:w="2611"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5. </w:t>
            </w:r>
            <w:r>
              <w:rPr>
                <w:rFonts w:eastAsia="Times New Roman"/>
                <w:sz w:val="20"/>
                <w:szCs w:val="20"/>
              </w:rPr>
              <w:t xml:space="preserve">Articular as ações referentes à infraestrutura necessária às demandas do Ensino, Pesquisa, Extensão e Inovação </w:t>
            </w:r>
          </w:p>
        </w:tc>
        <w:tc>
          <w:tcPr>
            <w:tcW w:w="55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1</w:t>
            </w:r>
          </w:p>
        </w:tc>
        <w:tc>
          <w:tcPr>
            <w:tcW w:w="629"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2</w:t>
            </w:r>
          </w:p>
        </w:tc>
        <w:tc>
          <w:tcPr>
            <w:tcW w:w="63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2</w:t>
            </w:r>
          </w:p>
        </w:tc>
        <w:tc>
          <w:tcPr>
            <w:tcW w:w="186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 xml:space="preserve">Adequação anual das estruturas físicas do </w:t>
            </w:r>
            <w:r>
              <w:rPr>
                <w:rFonts w:eastAsia="Times New Roman"/>
                <w:i/>
                <w:iCs/>
                <w:sz w:val="20"/>
                <w:szCs w:val="20"/>
              </w:rPr>
              <w:t>ca</w:t>
            </w:r>
            <w:r>
              <w:rPr>
                <w:rFonts w:eastAsia="Times New Roman"/>
                <w:i/>
                <w:sz w:val="20"/>
                <w:szCs w:val="20"/>
              </w:rPr>
              <w:t>mpus</w:t>
            </w:r>
          </w:p>
        </w:tc>
        <w:tc>
          <w:tcPr>
            <w:tcW w:w="528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Propor a Reitoria a construção da infraestrutura necessária ao funcionamento do setor administrativo, laboratórios e ginásio poliesportivo</w:t>
            </w:r>
          </w:p>
        </w:tc>
        <w:tc>
          <w:tcPr>
            <w:tcW w:w="1402"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Direção Geral</w:t>
            </w:r>
          </w:p>
        </w:tc>
      </w:tr>
      <w:tr w:rsidR="00762C45" w:rsidTr="00303B66">
        <w:trPr>
          <w:trHeight w:val="862"/>
        </w:trPr>
        <w:tc>
          <w:tcPr>
            <w:tcW w:w="2039"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jc w:val="center"/>
              <w:rPr>
                <w:rFonts w:eastAsia="Times New Roman"/>
                <w:sz w:val="20"/>
                <w:szCs w:val="20"/>
              </w:rPr>
            </w:pPr>
          </w:p>
        </w:tc>
        <w:tc>
          <w:tcPr>
            <w:tcW w:w="2611"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6. </w:t>
            </w:r>
            <w:r>
              <w:rPr>
                <w:rFonts w:eastAsia="Times New Roman"/>
                <w:sz w:val="20"/>
                <w:szCs w:val="20"/>
              </w:rPr>
              <w:t>Criação, aprovação, implementação e revisão de normativas para o fortalecimento do ensino</w:t>
            </w:r>
          </w:p>
        </w:tc>
        <w:tc>
          <w:tcPr>
            <w:tcW w:w="55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2</w:t>
            </w:r>
          </w:p>
        </w:tc>
        <w:tc>
          <w:tcPr>
            <w:tcW w:w="629"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2</w:t>
            </w:r>
          </w:p>
        </w:tc>
        <w:tc>
          <w:tcPr>
            <w:tcW w:w="630"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3</w:t>
            </w:r>
          </w:p>
        </w:tc>
        <w:tc>
          <w:tcPr>
            <w:tcW w:w="186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 xml:space="preserve">Fomento e implementação de políticas articuladas com atividades fim </w:t>
            </w:r>
          </w:p>
        </w:tc>
        <w:tc>
          <w:tcPr>
            <w:tcW w:w="528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sz w:val="20"/>
                <w:szCs w:val="20"/>
              </w:rPr>
            </w:pPr>
            <w:r>
              <w:rPr>
                <w:sz w:val="20"/>
                <w:szCs w:val="20"/>
              </w:rPr>
              <w:t>Articulação com a Pró-reitoria de Ensino com vistas a elaboração de editais e efetivação dos processos seletivos</w:t>
            </w:r>
          </w:p>
        </w:tc>
        <w:tc>
          <w:tcPr>
            <w:tcW w:w="1402"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Direção Geral e Diretoria de Ensino</w:t>
            </w:r>
          </w:p>
        </w:tc>
      </w:tr>
    </w:tbl>
    <w:p w:rsidR="00303B66" w:rsidRDefault="00303B66">
      <w:pPr>
        <w:tabs>
          <w:tab w:val="left" w:pos="1756"/>
          <w:tab w:val="left" w:pos="4450"/>
          <w:tab w:val="left" w:pos="4872"/>
          <w:tab w:val="left" w:pos="5438"/>
          <w:tab w:val="left" w:pos="6292"/>
          <w:tab w:val="left" w:pos="8133"/>
          <w:tab w:val="left" w:pos="12388"/>
        </w:tabs>
        <w:ind w:left="-511" w:firstLine="20"/>
        <w:rPr>
          <w:rFonts w:eastAsia="Times New Roman"/>
          <w:sz w:val="20"/>
          <w:szCs w:val="20"/>
        </w:rPr>
      </w:pPr>
      <w:r>
        <w:rPr>
          <w:rFonts w:eastAsia="Times New Roman"/>
          <w:sz w:val="20"/>
          <w:szCs w:val="20"/>
        </w:rPr>
        <w:tab/>
      </w:r>
      <w:r>
        <w:rPr>
          <w:rFonts w:eastAsia="Times New Roman"/>
          <w:b/>
          <w:bCs/>
          <w:sz w:val="20"/>
          <w:szCs w:val="20"/>
        </w:rPr>
        <w:tab/>
      </w:r>
      <w:r>
        <w:rPr>
          <w:rFonts w:eastAsia="Times New Roman"/>
          <w:sz w:val="20"/>
          <w:szCs w:val="20"/>
        </w:rPr>
        <w:tab/>
      </w:r>
      <w:r>
        <w:rPr>
          <w:rFonts w:eastAsia="Times New Roman"/>
          <w:sz w:val="20"/>
          <w:szCs w:val="20"/>
        </w:rPr>
        <w:tab/>
      </w:r>
      <w:r>
        <w:rPr>
          <w:rFonts w:eastAsia="Times New Roman"/>
          <w:sz w:val="20"/>
          <w:szCs w:val="20"/>
        </w:rPr>
        <w:tab/>
      </w:r>
      <w:r>
        <w:rPr>
          <w:rFonts w:eastAsia="Times New Roman"/>
          <w:sz w:val="20"/>
          <w:szCs w:val="20"/>
        </w:rPr>
        <w:tab/>
      </w:r>
    </w:p>
    <w:p w:rsidR="00762C45" w:rsidRDefault="00303B66">
      <w:pPr>
        <w:tabs>
          <w:tab w:val="left" w:pos="1756"/>
          <w:tab w:val="left" w:pos="4450"/>
          <w:tab w:val="left" w:pos="4872"/>
          <w:tab w:val="left" w:pos="5438"/>
          <w:tab w:val="left" w:pos="6292"/>
          <w:tab w:val="left" w:pos="8133"/>
          <w:tab w:val="left" w:pos="12388"/>
        </w:tabs>
        <w:ind w:left="-511" w:firstLine="20"/>
      </w:pPr>
      <w:r>
        <w:rPr>
          <w:sz w:val="20"/>
          <w:szCs w:val="20"/>
        </w:rPr>
        <w:tab/>
      </w:r>
    </w:p>
    <w:tbl>
      <w:tblPr>
        <w:tblW w:w="15075" w:type="dxa"/>
        <w:tblInd w:w="-168" w:type="dxa"/>
        <w:tblBorders>
          <w:top w:val="single" w:sz="4" w:space="0" w:color="000001"/>
          <w:left w:val="single" w:sz="4" w:space="0" w:color="00000A"/>
          <w:bottom w:val="single" w:sz="4" w:space="0" w:color="000001"/>
          <w:right w:val="single" w:sz="4" w:space="0" w:color="00000A"/>
          <w:insideH w:val="single" w:sz="4" w:space="0" w:color="000001"/>
          <w:insideV w:val="single" w:sz="4" w:space="0" w:color="00000A"/>
        </w:tblBorders>
        <w:tblCellMar>
          <w:left w:w="0" w:type="dxa"/>
          <w:right w:w="70" w:type="dxa"/>
        </w:tblCellMar>
        <w:tblLook w:val="04A0" w:firstRow="1" w:lastRow="0" w:firstColumn="1" w:lastColumn="0" w:noHBand="0" w:noVBand="1"/>
      </w:tblPr>
      <w:tblGrid>
        <w:gridCol w:w="2201"/>
        <w:gridCol w:w="493"/>
        <w:gridCol w:w="2688"/>
        <w:gridCol w:w="363"/>
        <w:gridCol w:w="207"/>
        <w:gridCol w:w="304"/>
        <w:gridCol w:w="371"/>
        <w:gridCol w:w="140"/>
        <w:gridCol w:w="370"/>
        <w:gridCol w:w="144"/>
        <w:gridCol w:w="1702"/>
        <w:gridCol w:w="484"/>
        <w:gridCol w:w="3568"/>
        <w:gridCol w:w="273"/>
        <w:gridCol w:w="1767"/>
      </w:tblGrid>
      <w:tr w:rsidR="00762C45">
        <w:trPr>
          <w:trHeight w:val="420"/>
        </w:trPr>
        <w:tc>
          <w:tcPr>
            <w:tcW w:w="2695" w:type="dxa"/>
            <w:gridSpan w:val="2"/>
            <w:vMerge w:val="restart"/>
            <w:tcBorders>
              <w:top w:val="single" w:sz="4" w:space="0" w:color="000001"/>
              <w:left w:val="single" w:sz="4" w:space="0" w:color="00000A"/>
              <w:bottom w:val="single" w:sz="4" w:space="0" w:color="000001"/>
              <w:right w:val="single" w:sz="4" w:space="0" w:color="00000A"/>
            </w:tcBorders>
            <w:shd w:val="clear" w:color="auto" w:fill="92D050"/>
            <w:tcMar>
              <w:left w:w="0" w:type="dxa"/>
            </w:tcMar>
            <w:vAlign w:val="center"/>
          </w:tcPr>
          <w:p w:rsidR="00762C45" w:rsidRDefault="00303B66">
            <w:pPr>
              <w:jc w:val="center"/>
            </w:pPr>
            <w:r>
              <w:rPr>
                <w:rFonts w:eastAsia="Times New Roman"/>
                <w:b/>
                <w:sz w:val="20"/>
                <w:szCs w:val="20"/>
              </w:rPr>
              <w:lastRenderedPageBreak/>
              <w:t>Objetivo</w:t>
            </w:r>
          </w:p>
        </w:tc>
        <w:tc>
          <w:tcPr>
            <w:tcW w:w="3051" w:type="dxa"/>
            <w:gridSpan w:val="2"/>
            <w:vMerge w:val="restart"/>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762C45">
            <w:pPr>
              <w:jc w:val="center"/>
              <w:rPr>
                <w:rFonts w:eastAsia="Times New Roman"/>
                <w:b/>
                <w:sz w:val="20"/>
                <w:szCs w:val="20"/>
              </w:rPr>
            </w:pPr>
          </w:p>
          <w:p w:rsidR="00762C45" w:rsidRDefault="00303B66">
            <w:pPr>
              <w:jc w:val="center"/>
              <w:rPr>
                <w:rFonts w:eastAsia="Times New Roman"/>
                <w:b/>
                <w:sz w:val="20"/>
                <w:szCs w:val="20"/>
              </w:rPr>
            </w:pPr>
            <w:r>
              <w:rPr>
                <w:rFonts w:eastAsia="Times New Roman"/>
                <w:b/>
                <w:sz w:val="20"/>
                <w:szCs w:val="20"/>
              </w:rPr>
              <w:t>Metas</w:t>
            </w:r>
          </w:p>
          <w:p w:rsidR="00762C45" w:rsidRDefault="00762C45">
            <w:pPr>
              <w:rPr>
                <w:rFonts w:eastAsia="Times New Roman"/>
                <w:b/>
                <w:bCs/>
                <w:sz w:val="20"/>
                <w:szCs w:val="20"/>
              </w:rPr>
            </w:pPr>
          </w:p>
        </w:tc>
        <w:tc>
          <w:tcPr>
            <w:tcW w:w="1533" w:type="dxa"/>
            <w:gridSpan w:val="6"/>
            <w:tcBorders>
              <w:top w:val="single" w:sz="4" w:space="0" w:color="000001"/>
              <w:left w:val="single" w:sz="4" w:space="0" w:color="00000A"/>
              <w:bottom w:val="single" w:sz="4" w:space="0" w:color="00000A"/>
              <w:right w:val="single" w:sz="4" w:space="0" w:color="00000A"/>
            </w:tcBorders>
            <w:shd w:val="clear" w:color="auto" w:fill="92D050"/>
            <w:vAlign w:val="center"/>
          </w:tcPr>
          <w:p w:rsidR="00762C45" w:rsidRDefault="00303B66">
            <w:pPr>
              <w:ind w:left="-53"/>
              <w:jc w:val="center"/>
            </w:pPr>
            <w:r>
              <w:rPr>
                <w:rFonts w:eastAsia="Times New Roman"/>
                <w:b/>
                <w:sz w:val="20"/>
                <w:szCs w:val="20"/>
              </w:rPr>
              <w:t>Ano</w:t>
            </w:r>
          </w:p>
        </w:tc>
        <w:tc>
          <w:tcPr>
            <w:tcW w:w="1702" w:type="dxa"/>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303B66">
            <w:pPr>
              <w:ind w:firstLine="20"/>
              <w:jc w:val="center"/>
            </w:pPr>
            <w:r>
              <w:rPr>
                <w:rFonts w:eastAsia="Times New Roman"/>
                <w:b/>
                <w:sz w:val="20"/>
                <w:szCs w:val="20"/>
              </w:rPr>
              <w:t>Indicadores</w:t>
            </w:r>
          </w:p>
        </w:tc>
        <w:tc>
          <w:tcPr>
            <w:tcW w:w="4325" w:type="dxa"/>
            <w:gridSpan w:val="3"/>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303B66">
            <w:pPr>
              <w:ind w:firstLine="20"/>
              <w:jc w:val="center"/>
            </w:pPr>
            <w:r>
              <w:rPr>
                <w:rFonts w:eastAsia="Times New Roman"/>
                <w:b/>
                <w:sz w:val="20"/>
                <w:szCs w:val="20"/>
              </w:rPr>
              <w:t>Estratégias</w:t>
            </w:r>
          </w:p>
        </w:tc>
        <w:tc>
          <w:tcPr>
            <w:tcW w:w="1767" w:type="dxa"/>
            <w:vMerge w:val="restart"/>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303B66">
            <w:pPr>
              <w:jc w:val="center"/>
            </w:pPr>
            <w:r>
              <w:rPr>
                <w:rFonts w:eastAsia="Times New Roman"/>
                <w:b/>
                <w:sz w:val="20"/>
                <w:szCs w:val="20"/>
              </w:rPr>
              <w:t>Responsável</w:t>
            </w:r>
          </w:p>
        </w:tc>
      </w:tr>
      <w:tr w:rsidR="00762C45">
        <w:trPr>
          <w:trHeight w:val="412"/>
        </w:trPr>
        <w:tc>
          <w:tcPr>
            <w:tcW w:w="2695"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ind w:hanging="45"/>
              <w:jc w:val="center"/>
              <w:rPr>
                <w:rFonts w:eastAsia="Times New Roman"/>
                <w:sz w:val="20"/>
                <w:szCs w:val="20"/>
              </w:rPr>
            </w:pPr>
          </w:p>
        </w:tc>
        <w:tc>
          <w:tcPr>
            <w:tcW w:w="3051" w:type="dxa"/>
            <w:gridSpan w:val="2"/>
            <w:vMerge/>
            <w:tcBorders>
              <w:top w:val="single" w:sz="4" w:space="0" w:color="000001"/>
              <w:left w:val="single" w:sz="4" w:space="0" w:color="00000A"/>
              <w:bottom w:val="single" w:sz="4" w:space="0" w:color="00000A"/>
              <w:right w:val="single" w:sz="4" w:space="0" w:color="00000A"/>
            </w:tcBorders>
            <w:shd w:val="clear" w:color="auto" w:fill="auto"/>
            <w:vAlign w:val="center"/>
          </w:tcPr>
          <w:p w:rsidR="00762C45" w:rsidRDefault="00762C45">
            <w:pPr>
              <w:jc w:val="center"/>
              <w:rPr>
                <w:rFonts w:eastAsia="Times New Roman"/>
                <w:sz w:val="20"/>
                <w:szCs w:val="20"/>
              </w:rPr>
            </w:pPr>
          </w:p>
        </w:tc>
        <w:tc>
          <w:tcPr>
            <w:tcW w:w="511" w:type="dxa"/>
            <w:gridSpan w:val="2"/>
            <w:tcBorders>
              <w:top w:val="single" w:sz="4" w:space="0" w:color="000001"/>
              <w:left w:val="single" w:sz="4" w:space="0" w:color="00000A"/>
              <w:bottom w:val="single" w:sz="4" w:space="0" w:color="00000A"/>
              <w:right w:val="single" w:sz="4" w:space="0" w:color="00000A"/>
            </w:tcBorders>
            <w:shd w:val="clear" w:color="auto" w:fill="92D050"/>
            <w:vAlign w:val="center"/>
          </w:tcPr>
          <w:p w:rsidR="00762C45" w:rsidRDefault="00303B66">
            <w:pPr>
              <w:ind w:left="-778"/>
              <w:jc w:val="right"/>
            </w:pPr>
            <w:r>
              <w:rPr>
                <w:rFonts w:eastAsia="Times New Roman"/>
                <w:b/>
                <w:sz w:val="20"/>
                <w:szCs w:val="20"/>
              </w:rPr>
              <w:t>2016</w:t>
            </w:r>
          </w:p>
        </w:tc>
        <w:tc>
          <w:tcPr>
            <w:tcW w:w="511" w:type="dxa"/>
            <w:gridSpan w:val="2"/>
            <w:tcBorders>
              <w:top w:val="single" w:sz="4" w:space="0" w:color="000001"/>
              <w:left w:val="single" w:sz="4" w:space="0" w:color="00000A"/>
              <w:bottom w:val="single" w:sz="4" w:space="0" w:color="00000A"/>
              <w:right w:val="single" w:sz="4" w:space="0" w:color="00000A"/>
            </w:tcBorders>
            <w:shd w:val="clear" w:color="auto" w:fill="92D050"/>
            <w:vAlign w:val="center"/>
          </w:tcPr>
          <w:p w:rsidR="00762C45" w:rsidRDefault="00303B66">
            <w:pPr>
              <w:ind w:left="-778"/>
              <w:jc w:val="right"/>
            </w:pPr>
            <w:r>
              <w:rPr>
                <w:rFonts w:eastAsia="Times New Roman"/>
                <w:b/>
                <w:sz w:val="20"/>
                <w:szCs w:val="20"/>
              </w:rPr>
              <w:t>2017</w:t>
            </w:r>
          </w:p>
        </w:tc>
        <w:tc>
          <w:tcPr>
            <w:tcW w:w="514" w:type="dxa"/>
            <w:gridSpan w:val="2"/>
            <w:tcBorders>
              <w:top w:val="single" w:sz="4" w:space="0" w:color="000001"/>
              <w:left w:val="single" w:sz="4" w:space="0" w:color="00000A"/>
              <w:bottom w:val="single" w:sz="4" w:space="0" w:color="00000A"/>
              <w:right w:val="single" w:sz="4" w:space="0" w:color="00000A"/>
            </w:tcBorders>
            <w:shd w:val="clear" w:color="auto" w:fill="92D050"/>
            <w:vAlign w:val="center"/>
          </w:tcPr>
          <w:p w:rsidR="00762C45" w:rsidRDefault="00303B66">
            <w:pPr>
              <w:ind w:left="-778"/>
              <w:jc w:val="right"/>
            </w:pPr>
            <w:r>
              <w:rPr>
                <w:rFonts w:eastAsia="Times New Roman"/>
                <w:b/>
                <w:sz w:val="20"/>
                <w:szCs w:val="20"/>
              </w:rPr>
              <w:t>2018</w:t>
            </w:r>
          </w:p>
        </w:tc>
        <w:tc>
          <w:tcPr>
            <w:tcW w:w="1702" w:type="dxa"/>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762C45">
            <w:pPr>
              <w:ind w:firstLine="20"/>
              <w:jc w:val="both"/>
              <w:rPr>
                <w:rFonts w:eastAsia="Times New Roman"/>
                <w:sz w:val="20"/>
                <w:szCs w:val="20"/>
              </w:rPr>
            </w:pPr>
          </w:p>
        </w:tc>
        <w:tc>
          <w:tcPr>
            <w:tcW w:w="4324"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firstLine="20"/>
              <w:jc w:val="both"/>
              <w:rPr>
                <w:rFonts w:eastAsia="Times New Roman"/>
                <w:sz w:val="20"/>
                <w:szCs w:val="20"/>
              </w:rPr>
            </w:pPr>
          </w:p>
        </w:tc>
        <w:tc>
          <w:tcPr>
            <w:tcW w:w="1765" w:type="dxa"/>
            <w:vMerge/>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762C45">
            <w:pPr>
              <w:ind w:firstLine="20"/>
              <w:jc w:val="center"/>
              <w:rPr>
                <w:rFonts w:eastAsia="Times New Roman"/>
                <w:sz w:val="20"/>
                <w:szCs w:val="20"/>
              </w:rPr>
            </w:pPr>
          </w:p>
        </w:tc>
      </w:tr>
      <w:tr w:rsidR="00762C45">
        <w:trPr>
          <w:trHeight w:val="300"/>
        </w:trPr>
        <w:tc>
          <w:tcPr>
            <w:tcW w:w="2695" w:type="dxa"/>
            <w:gridSpan w:val="2"/>
            <w:tcBorders>
              <w:top w:val="single" w:sz="4" w:space="0" w:color="000001"/>
              <w:left w:val="single" w:sz="4" w:space="0" w:color="00000A"/>
              <w:bottom w:val="single" w:sz="4" w:space="0" w:color="00000A"/>
              <w:right w:val="single" w:sz="4" w:space="0" w:color="00000A"/>
            </w:tcBorders>
            <w:shd w:val="clear" w:color="auto" w:fill="auto"/>
            <w:tcMar>
              <w:left w:w="0" w:type="dxa"/>
            </w:tcMar>
          </w:tcPr>
          <w:p w:rsidR="00762C45" w:rsidRDefault="00303B66">
            <w:pPr>
              <w:ind w:left="57" w:right="57" w:hanging="45"/>
              <w:jc w:val="both"/>
            </w:pPr>
            <w:r>
              <w:rPr>
                <w:rFonts w:eastAsia="Times New Roman"/>
                <w:b/>
                <w:bCs/>
                <w:sz w:val="20"/>
                <w:szCs w:val="20"/>
              </w:rPr>
              <w:t xml:space="preserve">Objetivo 1. </w:t>
            </w:r>
            <w:r>
              <w:rPr>
                <w:rFonts w:eastAsia="Times New Roman"/>
                <w:sz w:val="20"/>
                <w:szCs w:val="20"/>
              </w:rPr>
              <w:t>Consolidar e fortalecer os cursos ofertados</w:t>
            </w:r>
          </w:p>
        </w:tc>
        <w:tc>
          <w:tcPr>
            <w:tcW w:w="3051"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pPr>
            <w:r>
              <w:rPr>
                <w:rFonts w:eastAsia="Times New Roman"/>
                <w:b/>
                <w:sz w:val="20"/>
                <w:szCs w:val="20"/>
              </w:rPr>
              <w:t xml:space="preserve">META 7. </w:t>
            </w:r>
            <w:r>
              <w:rPr>
                <w:sz w:val="20"/>
                <w:szCs w:val="20"/>
              </w:rPr>
              <w:t xml:space="preserve">Identificar os Arranjos Produtivos Locais (APLs) da área de abrangência do </w:t>
            </w:r>
            <w:r>
              <w:rPr>
                <w:i/>
                <w:iCs/>
                <w:sz w:val="20"/>
                <w:szCs w:val="20"/>
              </w:rPr>
              <w:t>c</w:t>
            </w:r>
            <w:r>
              <w:rPr>
                <w:i/>
                <w:sz w:val="20"/>
                <w:szCs w:val="20"/>
              </w:rPr>
              <w:t xml:space="preserve">ampus, </w:t>
            </w:r>
            <w:r>
              <w:rPr>
                <w:sz w:val="20"/>
                <w:szCs w:val="20"/>
              </w:rPr>
              <w:t xml:space="preserve">a fim de </w:t>
            </w:r>
            <w:r>
              <w:rPr>
                <w:sz w:val="20"/>
                <w:szCs w:val="20"/>
                <w:lang w:eastAsia="en-CA"/>
              </w:rPr>
              <w:t>subsidiar a defini</w:t>
            </w:r>
            <w:r w:rsidR="00677502">
              <w:rPr>
                <w:sz w:val="20"/>
                <w:szCs w:val="20"/>
                <w:lang w:eastAsia="en-CA"/>
              </w:rPr>
              <w:t xml:space="preserve">ção dos seus cursos e das suas </w:t>
            </w:r>
            <w:r>
              <w:rPr>
                <w:sz w:val="20"/>
                <w:szCs w:val="20"/>
                <w:lang w:eastAsia="en-CA"/>
              </w:rPr>
              <w:t xml:space="preserve">atividades de pesquisa e extensão </w:t>
            </w:r>
          </w:p>
        </w:tc>
        <w:tc>
          <w:tcPr>
            <w:tcW w:w="511"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pPr>
            <w:r>
              <w:rPr>
                <w:rFonts w:eastAsia="Times New Roman"/>
                <w:sz w:val="20"/>
                <w:szCs w:val="20"/>
              </w:rPr>
              <w:t>1</w:t>
            </w:r>
          </w:p>
        </w:tc>
        <w:tc>
          <w:tcPr>
            <w:tcW w:w="511"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pPr>
            <w:r>
              <w:rPr>
                <w:rFonts w:eastAsia="Times New Roman"/>
                <w:sz w:val="20"/>
                <w:szCs w:val="20"/>
              </w:rPr>
              <w:t>2</w:t>
            </w:r>
          </w:p>
        </w:tc>
        <w:tc>
          <w:tcPr>
            <w:tcW w:w="514"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pPr>
            <w:r>
              <w:rPr>
                <w:rFonts w:eastAsia="Times New Roman"/>
                <w:sz w:val="20"/>
                <w:szCs w:val="20"/>
              </w:rPr>
              <w:t>3</w:t>
            </w:r>
          </w:p>
        </w:tc>
        <w:tc>
          <w:tcPr>
            <w:tcW w:w="1702"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rsidP="00677502">
            <w:pPr>
              <w:ind w:left="57" w:right="57" w:firstLine="20"/>
              <w:jc w:val="both"/>
            </w:pPr>
            <w:r>
              <w:rPr>
                <w:rFonts w:eastAsia="Times New Roman"/>
                <w:sz w:val="20"/>
                <w:szCs w:val="20"/>
              </w:rPr>
              <w:t>Criação de novos cursos: técnicos subsequentes e supe</w:t>
            </w:r>
            <w:r w:rsidR="00677502">
              <w:rPr>
                <w:rFonts w:eastAsia="Times New Roman"/>
                <w:sz w:val="20"/>
                <w:szCs w:val="20"/>
              </w:rPr>
              <w:t xml:space="preserve">riores (tecnologias </w:t>
            </w:r>
            <w:r>
              <w:rPr>
                <w:rFonts w:eastAsia="Times New Roman"/>
                <w:sz w:val="20"/>
                <w:szCs w:val="20"/>
              </w:rPr>
              <w:t>e licenciaturas)</w:t>
            </w:r>
          </w:p>
        </w:tc>
        <w:tc>
          <w:tcPr>
            <w:tcW w:w="4324"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pStyle w:val="PargrafodaLista"/>
              <w:tabs>
                <w:tab w:val="left" w:pos="175"/>
              </w:tabs>
              <w:spacing w:line="240" w:lineRule="auto"/>
              <w:ind w:left="57" w:right="57" w:firstLine="0"/>
            </w:pPr>
            <w:r>
              <w:rPr>
                <w:rFonts w:ascii="Times New Roman" w:hAnsi="Times New Roman" w:cs="Times New Roman"/>
                <w:sz w:val="20"/>
                <w:szCs w:val="20"/>
                <w:lang w:eastAsia="en-CA"/>
              </w:rPr>
              <w:t xml:space="preserve">Realização do diagnóstico envolvendo diversos agentes que integram os Arranjos Produtivos Locais (APLs), identificados na região de abrangência do </w:t>
            </w:r>
            <w:r>
              <w:rPr>
                <w:rFonts w:ascii="Times New Roman" w:hAnsi="Times New Roman" w:cs="Times New Roman"/>
                <w:i/>
                <w:sz w:val="20"/>
                <w:szCs w:val="20"/>
              </w:rPr>
              <w:t>campus</w:t>
            </w:r>
            <w:r>
              <w:rPr>
                <w:rFonts w:ascii="Times New Roman" w:hAnsi="Times New Roman" w:cs="Times New Roman"/>
                <w:sz w:val="20"/>
                <w:szCs w:val="20"/>
                <w:lang w:eastAsia="en-CA"/>
              </w:rPr>
              <w:t>, através de entrevistas e/ou questionários semiestruturados;</w:t>
            </w:r>
          </w:p>
          <w:p w:rsidR="00762C45" w:rsidRDefault="00303B66">
            <w:pPr>
              <w:ind w:left="57" w:right="57" w:firstLine="20"/>
            </w:pPr>
            <w:r>
              <w:rPr>
                <w:sz w:val="20"/>
                <w:szCs w:val="20"/>
                <w:lang w:eastAsia="en-CA"/>
              </w:rPr>
              <w:t>Realização de audiências públicas para debater e divulgar os resultados desse diagnóstico</w:t>
            </w:r>
          </w:p>
        </w:tc>
        <w:tc>
          <w:tcPr>
            <w:tcW w:w="176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Direção Geral</w:t>
            </w:r>
          </w:p>
          <w:p w:rsidR="00762C45" w:rsidRDefault="00303B66">
            <w:pPr>
              <w:ind w:left="57" w:right="57" w:firstLine="20"/>
            </w:pPr>
            <w:r>
              <w:rPr>
                <w:rFonts w:eastAsia="Times New Roman"/>
                <w:sz w:val="20"/>
                <w:szCs w:val="20"/>
              </w:rPr>
              <w:t>Diretoria de Ensino e Coordenações dos cursos</w:t>
            </w:r>
          </w:p>
        </w:tc>
      </w:tr>
      <w:tr w:rsidR="00762C45">
        <w:trPr>
          <w:trHeight w:val="1020"/>
        </w:trPr>
        <w:tc>
          <w:tcPr>
            <w:tcW w:w="2695" w:type="dxa"/>
            <w:gridSpan w:val="2"/>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hanging="45"/>
              <w:jc w:val="both"/>
            </w:pPr>
            <w:r>
              <w:rPr>
                <w:rFonts w:eastAsia="Times New Roman"/>
                <w:b/>
                <w:bCs/>
                <w:sz w:val="20"/>
                <w:szCs w:val="20"/>
              </w:rPr>
              <w:t xml:space="preserve">Objetivo 2. </w:t>
            </w:r>
            <w:r>
              <w:rPr>
                <w:rFonts w:eastAsia="Times New Roman"/>
                <w:sz w:val="20"/>
                <w:szCs w:val="20"/>
              </w:rPr>
              <w:t xml:space="preserve"> Regulamentar a oferta da Educação a Distância (EaD) criando instrumentos legais para sua consolidação no âmbito do IFPA</w:t>
            </w:r>
          </w:p>
        </w:tc>
        <w:tc>
          <w:tcPr>
            <w:tcW w:w="3051"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pPr>
            <w:r>
              <w:rPr>
                <w:rFonts w:eastAsia="Times New Roman"/>
                <w:b/>
                <w:sz w:val="20"/>
                <w:szCs w:val="20"/>
              </w:rPr>
              <w:t xml:space="preserve">META 1. </w:t>
            </w:r>
            <w:r>
              <w:rPr>
                <w:rFonts w:eastAsia="Times New Roman"/>
                <w:sz w:val="20"/>
                <w:szCs w:val="20"/>
              </w:rPr>
              <w:t xml:space="preserve">Criar polos de EaD na região de abrangência do </w:t>
            </w:r>
            <w:r>
              <w:rPr>
                <w:rFonts w:eastAsia="Times New Roman"/>
                <w:i/>
                <w:sz w:val="20"/>
                <w:szCs w:val="20"/>
              </w:rPr>
              <w:t>campus</w:t>
            </w:r>
          </w:p>
          <w:p w:rsidR="00762C45" w:rsidRDefault="00762C45">
            <w:pPr>
              <w:ind w:left="57" w:right="57" w:hanging="50"/>
              <w:rPr>
                <w:rFonts w:eastAsia="Times New Roman"/>
                <w:sz w:val="20"/>
                <w:szCs w:val="20"/>
              </w:rPr>
            </w:pPr>
          </w:p>
        </w:tc>
        <w:tc>
          <w:tcPr>
            <w:tcW w:w="511"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pPr>
            <w:r>
              <w:rPr>
                <w:rFonts w:eastAsia="Times New Roman"/>
                <w:sz w:val="20"/>
                <w:szCs w:val="20"/>
              </w:rPr>
              <w:t>0</w:t>
            </w:r>
          </w:p>
        </w:tc>
        <w:tc>
          <w:tcPr>
            <w:tcW w:w="511"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pPr>
            <w:r>
              <w:rPr>
                <w:rFonts w:eastAsia="Times New Roman"/>
                <w:sz w:val="20"/>
                <w:szCs w:val="20"/>
              </w:rPr>
              <w:t>0</w:t>
            </w:r>
          </w:p>
        </w:tc>
        <w:tc>
          <w:tcPr>
            <w:tcW w:w="514"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pPr>
            <w:r>
              <w:rPr>
                <w:rFonts w:eastAsia="Times New Roman"/>
                <w:sz w:val="20"/>
                <w:szCs w:val="20"/>
              </w:rPr>
              <w:t>1</w:t>
            </w:r>
          </w:p>
        </w:tc>
        <w:tc>
          <w:tcPr>
            <w:tcW w:w="1702"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Número de Polos criados e credenciados</w:t>
            </w:r>
            <w:bookmarkStart w:id="10" w:name="_GoBack"/>
            <w:bookmarkEnd w:id="10"/>
          </w:p>
        </w:tc>
        <w:tc>
          <w:tcPr>
            <w:tcW w:w="4324"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pPr>
            <w:r>
              <w:rPr>
                <w:rFonts w:eastAsia="Times New Roman"/>
                <w:sz w:val="20"/>
                <w:szCs w:val="20"/>
              </w:rPr>
              <w:t xml:space="preserve">Articular com a prefeitura de um dos municípios da área de abrangência do </w:t>
            </w:r>
            <w:r>
              <w:rPr>
                <w:rFonts w:eastAsia="Times New Roman"/>
                <w:i/>
                <w:sz w:val="20"/>
                <w:szCs w:val="20"/>
              </w:rPr>
              <w:t>campus</w:t>
            </w:r>
            <w:r>
              <w:rPr>
                <w:rFonts w:eastAsia="Times New Roman"/>
                <w:sz w:val="20"/>
                <w:szCs w:val="20"/>
              </w:rPr>
              <w:t>, para a criação do polo de EaD</w:t>
            </w:r>
          </w:p>
        </w:tc>
        <w:tc>
          <w:tcPr>
            <w:tcW w:w="176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pPr>
            <w:r>
              <w:rPr>
                <w:rFonts w:eastAsia="Times New Roman"/>
                <w:sz w:val="20"/>
                <w:szCs w:val="20"/>
              </w:rPr>
              <w:t>Direção Geral e Diretoria de Ensino</w:t>
            </w:r>
          </w:p>
        </w:tc>
      </w:tr>
      <w:tr w:rsidR="00762C45">
        <w:trPr>
          <w:trHeight w:val="765"/>
        </w:trPr>
        <w:tc>
          <w:tcPr>
            <w:tcW w:w="2695" w:type="dxa"/>
            <w:gridSpan w:val="2"/>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hanging="45"/>
              <w:jc w:val="both"/>
            </w:pPr>
            <w:r>
              <w:rPr>
                <w:rFonts w:eastAsia="Times New Roman"/>
                <w:b/>
                <w:bCs/>
                <w:sz w:val="20"/>
                <w:szCs w:val="20"/>
              </w:rPr>
              <w:t xml:space="preserve">Objetivo 3. </w:t>
            </w:r>
            <w:r>
              <w:rPr>
                <w:rFonts w:eastAsia="Times New Roman"/>
                <w:sz w:val="20"/>
                <w:szCs w:val="20"/>
              </w:rPr>
              <w:t>Aumentar a oferta de cursos de extensão e técnicos, como parte de Programas Governamentais, a partir das demandas sociais e reconhecimento dos APLs</w:t>
            </w:r>
          </w:p>
        </w:tc>
        <w:tc>
          <w:tcPr>
            <w:tcW w:w="305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1. </w:t>
            </w:r>
            <w:r>
              <w:rPr>
                <w:rFonts w:eastAsia="Times New Roman"/>
                <w:sz w:val="20"/>
                <w:szCs w:val="20"/>
              </w:rPr>
              <w:t>Aumentar a oferta de vagas em cursos FIC através do Programa Bolsa-Formação PRONATEC</w:t>
            </w:r>
          </w:p>
        </w:tc>
        <w:tc>
          <w:tcPr>
            <w:tcW w:w="51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0</w:t>
            </w:r>
          </w:p>
        </w:tc>
        <w:tc>
          <w:tcPr>
            <w:tcW w:w="51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40</w:t>
            </w:r>
          </w:p>
        </w:tc>
        <w:tc>
          <w:tcPr>
            <w:tcW w:w="51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40</w:t>
            </w:r>
          </w:p>
        </w:tc>
        <w:tc>
          <w:tcPr>
            <w:tcW w:w="1702"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Número de vagas pactuadas</w:t>
            </w:r>
          </w:p>
        </w:tc>
        <w:tc>
          <w:tcPr>
            <w:tcW w:w="4324"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Aproveitar os Projetos Pedagógicos já aprovados pelo CONSUP, dos cursos a serem ofertados;</w:t>
            </w:r>
          </w:p>
          <w:p w:rsidR="00762C45" w:rsidRDefault="00303B66">
            <w:pPr>
              <w:ind w:left="57" w:right="57" w:firstLine="20"/>
              <w:jc w:val="both"/>
              <w:rPr>
                <w:rFonts w:eastAsia="Times New Roman"/>
                <w:sz w:val="20"/>
                <w:szCs w:val="20"/>
              </w:rPr>
            </w:pPr>
            <w:r>
              <w:rPr>
                <w:rFonts w:eastAsia="Times New Roman"/>
                <w:sz w:val="20"/>
                <w:szCs w:val="20"/>
              </w:rPr>
              <w:t xml:space="preserve">Articular junto à PROEN a oferta pelo </w:t>
            </w:r>
            <w:r>
              <w:rPr>
                <w:rFonts w:eastAsia="Times New Roman"/>
                <w:i/>
                <w:sz w:val="20"/>
                <w:szCs w:val="20"/>
              </w:rPr>
              <w:t>campus</w:t>
            </w:r>
            <w:r>
              <w:rPr>
                <w:rFonts w:eastAsia="Times New Roman"/>
                <w:sz w:val="20"/>
                <w:szCs w:val="20"/>
              </w:rPr>
              <w:t xml:space="preserve"> dos cursos FIC em regime regular;</w:t>
            </w:r>
          </w:p>
          <w:p w:rsidR="00762C45" w:rsidRDefault="00303B66">
            <w:pPr>
              <w:ind w:left="57" w:right="57" w:firstLine="20"/>
            </w:pPr>
            <w:r>
              <w:rPr>
                <w:rFonts w:eastAsia="Times New Roman"/>
                <w:sz w:val="20"/>
                <w:szCs w:val="20"/>
              </w:rPr>
              <w:t>Pactuar essas vagas junto ao PRONATEC</w:t>
            </w:r>
          </w:p>
        </w:tc>
        <w:tc>
          <w:tcPr>
            <w:tcW w:w="176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Diretoria de Ensino e Coordenação do PRONATEC</w:t>
            </w:r>
          </w:p>
        </w:tc>
      </w:tr>
      <w:tr w:rsidR="00762C45">
        <w:trPr>
          <w:trHeight w:val="300"/>
        </w:trPr>
        <w:tc>
          <w:tcPr>
            <w:tcW w:w="2695"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ind w:left="57" w:right="57" w:hanging="45"/>
              <w:jc w:val="center"/>
              <w:rPr>
                <w:rFonts w:eastAsia="Times New Roman"/>
                <w:sz w:val="20"/>
                <w:szCs w:val="20"/>
              </w:rPr>
            </w:pPr>
          </w:p>
        </w:tc>
        <w:tc>
          <w:tcPr>
            <w:tcW w:w="305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2. </w:t>
            </w:r>
            <w:r>
              <w:rPr>
                <w:rFonts w:eastAsia="Times New Roman"/>
                <w:sz w:val="20"/>
                <w:szCs w:val="20"/>
              </w:rPr>
              <w:t>Aumentar a oferta de cursos técnicos subsequentes através do Programa Bolsa-Formação PRONATEC</w:t>
            </w:r>
          </w:p>
        </w:tc>
        <w:tc>
          <w:tcPr>
            <w:tcW w:w="51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w:t>
            </w:r>
          </w:p>
        </w:tc>
        <w:tc>
          <w:tcPr>
            <w:tcW w:w="51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1</w:t>
            </w:r>
          </w:p>
        </w:tc>
        <w:tc>
          <w:tcPr>
            <w:tcW w:w="51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2</w:t>
            </w:r>
          </w:p>
        </w:tc>
        <w:tc>
          <w:tcPr>
            <w:tcW w:w="1702"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Número de cursos pactuados</w:t>
            </w:r>
          </w:p>
        </w:tc>
        <w:tc>
          <w:tcPr>
            <w:tcW w:w="4324"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 xml:space="preserve">Pactuar os cursos técnicos subsequentes ofertados pelo </w:t>
            </w:r>
            <w:r>
              <w:rPr>
                <w:rFonts w:eastAsia="Times New Roman"/>
                <w:i/>
                <w:sz w:val="20"/>
                <w:szCs w:val="20"/>
              </w:rPr>
              <w:t>campus</w:t>
            </w:r>
            <w:r>
              <w:rPr>
                <w:rFonts w:eastAsia="Times New Roman"/>
                <w:sz w:val="20"/>
                <w:szCs w:val="20"/>
              </w:rPr>
              <w:t xml:space="preserve"> junto ao PRONATEC</w:t>
            </w:r>
          </w:p>
        </w:tc>
        <w:tc>
          <w:tcPr>
            <w:tcW w:w="176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Diretoria de Ensino e Coordenação do PRONATEC</w:t>
            </w:r>
          </w:p>
        </w:tc>
      </w:tr>
      <w:tr w:rsidR="00762C45">
        <w:trPr>
          <w:trHeight w:val="300"/>
        </w:trPr>
        <w:tc>
          <w:tcPr>
            <w:tcW w:w="2695"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left="57" w:right="57"/>
              <w:jc w:val="both"/>
              <w:rPr>
                <w:sz w:val="20"/>
                <w:szCs w:val="20"/>
              </w:rPr>
            </w:pPr>
          </w:p>
        </w:tc>
        <w:tc>
          <w:tcPr>
            <w:tcW w:w="305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both"/>
              <w:rPr>
                <w:rFonts w:eastAsia="Times New Roman"/>
                <w:sz w:val="20"/>
                <w:szCs w:val="20"/>
              </w:rPr>
            </w:pPr>
            <w:r>
              <w:rPr>
                <w:rFonts w:eastAsia="Times New Roman"/>
                <w:b/>
                <w:bCs/>
                <w:sz w:val="20"/>
                <w:szCs w:val="20"/>
              </w:rPr>
              <w:t xml:space="preserve">META 3. </w:t>
            </w:r>
            <w:r>
              <w:rPr>
                <w:rFonts w:eastAsia="Times New Roman"/>
                <w:sz w:val="20"/>
                <w:szCs w:val="20"/>
              </w:rPr>
              <w:t>Pactuar ofertas de vagas em cursos FIC para mulheres, através do Programa Bolsa-Formação PRONATEC, modalidade Mulheres Mil</w:t>
            </w:r>
          </w:p>
        </w:tc>
        <w:tc>
          <w:tcPr>
            <w:tcW w:w="51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w:t>
            </w:r>
          </w:p>
        </w:tc>
        <w:tc>
          <w:tcPr>
            <w:tcW w:w="51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30</w:t>
            </w:r>
          </w:p>
        </w:tc>
        <w:tc>
          <w:tcPr>
            <w:tcW w:w="51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pPr>
            <w:r>
              <w:rPr>
                <w:rFonts w:eastAsia="Times New Roman"/>
                <w:sz w:val="20"/>
                <w:szCs w:val="20"/>
              </w:rPr>
              <w:t>30</w:t>
            </w:r>
          </w:p>
        </w:tc>
        <w:tc>
          <w:tcPr>
            <w:tcW w:w="1702"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Vagas pactuadas</w:t>
            </w:r>
          </w:p>
        </w:tc>
        <w:tc>
          <w:tcPr>
            <w:tcW w:w="4324"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both"/>
            </w:pPr>
            <w:r>
              <w:rPr>
                <w:sz w:val="20"/>
                <w:szCs w:val="20"/>
              </w:rPr>
              <w:t>Definir e divulgar os cursos a serem ofertados e pactuar as vagas junto ao PRONATEC – Mulheres Mil</w:t>
            </w:r>
          </w:p>
        </w:tc>
        <w:tc>
          <w:tcPr>
            <w:tcW w:w="176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Diretoria de Ensino e Coordenação do PRONATEC</w:t>
            </w:r>
          </w:p>
        </w:tc>
      </w:tr>
      <w:tr w:rsidR="00762C45">
        <w:trPr>
          <w:trHeight w:val="300"/>
        </w:trPr>
        <w:tc>
          <w:tcPr>
            <w:tcW w:w="2695" w:type="dxa"/>
            <w:gridSpan w:val="2"/>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jc w:val="both"/>
              <w:rPr>
                <w:sz w:val="20"/>
                <w:szCs w:val="20"/>
              </w:rPr>
            </w:pPr>
            <w:r>
              <w:rPr>
                <w:rFonts w:eastAsia="Times New Roman"/>
                <w:b/>
                <w:bCs/>
                <w:sz w:val="20"/>
                <w:szCs w:val="20"/>
              </w:rPr>
              <w:t xml:space="preserve">Objetivo 4. </w:t>
            </w:r>
            <w:r>
              <w:rPr>
                <w:rFonts w:eastAsia="Times New Roman"/>
                <w:sz w:val="20"/>
                <w:szCs w:val="20"/>
              </w:rPr>
              <w:t>Fomentar programas e projetos de extensão, incentivando e priorizando propostas vinculadas aos Projetos Pedagógicos dos cursos</w:t>
            </w:r>
          </w:p>
        </w:tc>
        <w:tc>
          <w:tcPr>
            <w:tcW w:w="305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1. </w:t>
            </w:r>
            <w:r>
              <w:rPr>
                <w:rFonts w:eastAsia="Times New Roman"/>
                <w:sz w:val="20"/>
                <w:szCs w:val="20"/>
              </w:rPr>
              <w:t>Financiar projetos de extensão através do PRO -EXTENSÃO - Programa de Apoio às Atividades de Extensão do IFPA</w:t>
            </w:r>
          </w:p>
        </w:tc>
        <w:tc>
          <w:tcPr>
            <w:tcW w:w="51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2</w:t>
            </w:r>
          </w:p>
        </w:tc>
        <w:tc>
          <w:tcPr>
            <w:tcW w:w="51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2</w:t>
            </w:r>
          </w:p>
        </w:tc>
        <w:tc>
          <w:tcPr>
            <w:tcW w:w="51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3</w:t>
            </w:r>
          </w:p>
        </w:tc>
        <w:tc>
          <w:tcPr>
            <w:tcW w:w="1702"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sz w:val="20"/>
                <w:szCs w:val="20"/>
              </w:rPr>
            </w:pPr>
            <w:r>
              <w:rPr>
                <w:rFonts w:eastAsia="Times New Roman"/>
                <w:sz w:val="20"/>
                <w:szCs w:val="20"/>
              </w:rPr>
              <w:t>Projetos aprovados</w:t>
            </w:r>
          </w:p>
        </w:tc>
        <w:tc>
          <w:tcPr>
            <w:tcW w:w="4324"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Elaboração e submissão de projetos de extensão aos editais lançados pela PROEX/IFPA</w:t>
            </w:r>
          </w:p>
        </w:tc>
        <w:tc>
          <w:tcPr>
            <w:tcW w:w="176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Diretoria de Ensino e Coordenação de Pesquisa e Extensão</w:t>
            </w:r>
          </w:p>
        </w:tc>
      </w:tr>
      <w:tr w:rsidR="00762C45">
        <w:trPr>
          <w:trHeight w:val="300"/>
        </w:trPr>
        <w:tc>
          <w:tcPr>
            <w:tcW w:w="2202" w:type="dxa"/>
            <w:vMerge w:val="restart"/>
            <w:tcBorders>
              <w:top w:val="single" w:sz="4" w:space="0" w:color="000001"/>
              <w:left w:val="single" w:sz="4" w:space="0" w:color="00000A"/>
              <w:bottom w:val="single" w:sz="4" w:space="0" w:color="000001"/>
              <w:right w:val="single" w:sz="4" w:space="0" w:color="00000A"/>
            </w:tcBorders>
            <w:shd w:val="clear" w:color="auto" w:fill="92D050"/>
            <w:tcMar>
              <w:left w:w="0" w:type="dxa"/>
            </w:tcMar>
            <w:vAlign w:val="center"/>
          </w:tcPr>
          <w:p w:rsidR="00762C45" w:rsidRDefault="00303B66">
            <w:pPr>
              <w:ind w:left="-56" w:right="-70"/>
              <w:jc w:val="center"/>
            </w:pPr>
            <w:r>
              <w:rPr>
                <w:rFonts w:eastAsia="Times New Roman"/>
                <w:b/>
                <w:sz w:val="20"/>
                <w:szCs w:val="20"/>
              </w:rPr>
              <w:lastRenderedPageBreak/>
              <w:t>Objetivo</w:t>
            </w:r>
          </w:p>
        </w:tc>
        <w:tc>
          <w:tcPr>
            <w:tcW w:w="3181" w:type="dxa"/>
            <w:gridSpan w:val="2"/>
            <w:vMerge w:val="restart"/>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762C45">
            <w:pPr>
              <w:ind w:left="-56"/>
              <w:jc w:val="center"/>
              <w:rPr>
                <w:rFonts w:eastAsia="Times New Roman"/>
                <w:b/>
                <w:sz w:val="20"/>
                <w:szCs w:val="20"/>
              </w:rPr>
            </w:pPr>
          </w:p>
          <w:p w:rsidR="00762C45" w:rsidRDefault="00303B66">
            <w:pPr>
              <w:ind w:left="-56"/>
              <w:jc w:val="center"/>
            </w:pPr>
            <w:r>
              <w:rPr>
                <w:rFonts w:eastAsia="Times New Roman"/>
                <w:b/>
                <w:sz w:val="20"/>
                <w:szCs w:val="20"/>
              </w:rPr>
              <w:t>Metas</w:t>
            </w:r>
          </w:p>
          <w:p w:rsidR="00762C45" w:rsidRDefault="00762C45">
            <w:pPr>
              <w:ind w:left="-56"/>
              <w:jc w:val="center"/>
              <w:rPr>
                <w:rFonts w:eastAsia="Times New Roman"/>
                <w:b/>
                <w:bCs/>
                <w:sz w:val="20"/>
                <w:szCs w:val="20"/>
              </w:rPr>
            </w:pPr>
          </w:p>
        </w:tc>
        <w:tc>
          <w:tcPr>
            <w:tcW w:w="1755" w:type="dxa"/>
            <w:gridSpan w:val="6"/>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303B66">
            <w:pPr>
              <w:ind w:left="-56"/>
              <w:jc w:val="center"/>
            </w:pPr>
            <w:r>
              <w:rPr>
                <w:rFonts w:eastAsia="Times New Roman"/>
                <w:b/>
                <w:sz w:val="20"/>
                <w:szCs w:val="20"/>
              </w:rPr>
              <w:t>Ano</w:t>
            </w:r>
          </w:p>
        </w:tc>
        <w:tc>
          <w:tcPr>
            <w:tcW w:w="2330" w:type="dxa"/>
            <w:gridSpan w:val="3"/>
            <w:vMerge w:val="restart"/>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303B66">
            <w:pPr>
              <w:ind w:left="-56"/>
              <w:jc w:val="center"/>
            </w:pPr>
            <w:r>
              <w:rPr>
                <w:rFonts w:eastAsia="Times New Roman"/>
                <w:b/>
                <w:sz w:val="20"/>
                <w:szCs w:val="20"/>
              </w:rPr>
              <w:t>Indicadores</w:t>
            </w:r>
          </w:p>
        </w:tc>
        <w:tc>
          <w:tcPr>
            <w:tcW w:w="3568" w:type="dxa"/>
            <w:vMerge w:val="restart"/>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303B66">
            <w:pPr>
              <w:ind w:left="-56"/>
              <w:jc w:val="center"/>
            </w:pPr>
            <w:r>
              <w:rPr>
                <w:rFonts w:eastAsia="Times New Roman"/>
                <w:b/>
                <w:sz w:val="20"/>
                <w:szCs w:val="20"/>
              </w:rPr>
              <w:t>Estratégias</w:t>
            </w:r>
          </w:p>
        </w:tc>
        <w:tc>
          <w:tcPr>
            <w:tcW w:w="2037" w:type="dxa"/>
            <w:gridSpan w:val="2"/>
            <w:vMerge w:val="restart"/>
            <w:tcBorders>
              <w:top w:val="single" w:sz="4" w:space="0" w:color="000001"/>
              <w:left w:val="single" w:sz="4" w:space="0" w:color="00000A"/>
              <w:bottom w:val="single" w:sz="4" w:space="0" w:color="000001"/>
              <w:right w:val="single" w:sz="4" w:space="0" w:color="00000A"/>
            </w:tcBorders>
            <w:shd w:val="clear" w:color="auto" w:fill="92D050"/>
            <w:vAlign w:val="center"/>
          </w:tcPr>
          <w:p w:rsidR="00762C45" w:rsidRDefault="00303B66">
            <w:pPr>
              <w:ind w:left="-56"/>
              <w:jc w:val="center"/>
            </w:pPr>
            <w:r>
              <w:rPr>
                <w:rFonts w:eastAsia="Times New Roman"/>
                <w:b/>
                <w:sz w:val="20"/>
                <w:szCs w:val="20"/>
              </w:rPr>
              <w:t>Responsável</w:t>
            </w:r>
          </w:p>
        </w:tc>
      </w:tr>
      <w:tr w:rsidR="00762C45">
        <w:trPr>
          <w:trHeight w:val="300"/>
        </w:trPr>
        <w:tc>
          <w:tcPr>
            <w:tcW w:w="2202" w:type="dxa"/>
            <w:vMerge/>
            <w:tcBorders>
              <w:top w:val="single" w:sz="4" w:space="0" w:color="000001"/>
              <w:left w:val="single" w:sz="4" w:space="0" w:color="00000A"/>
              <w:bottom w:val="single" w:sz="4" w:space="0" w:color="00000A"/>
              <w:right w:val="single" w:sz="4" w:space="0" w:color="00000A"/>
            </w:tcBorders>
            <w:shd w:val="clear" w:color="auto" w:fill="auto"/>
            <w:tcMar>
              <w:left w:w="0" w:type="dxa"/>
            </w:tcMar>
            <w:vAlign w:val="center"/>
          </w:tcPr>
          <w:p w:rsidR="00762C45" w:rsidRDefault="00762C45">
            <w:pPr>
              <w:ind w:hanging="45"/>
              <w:jc w:val="both"/>
              <w:rPr>
                <w:rFonts w:eastAsia="Times New Roman"/>
                <w:b/>
                <w:bCs/>
                <w:sz w:val="20"/>
                <w:szCs w:val="20"/>
              </w:rPr>
            </w:pPr>
          </w:p>
        </w:tc>
        <w:tc>
          <w:tcPr>
            <w:tcW w:w="3181" w:type="dxa"/>
            <w:gridSpan w:val="2"/>
            <w:vMerge/>
            <w:tcBorders>
              <w:top w:val="single" w:sz="4" w:space="0" w:color="000001"/>
              <w:left w:val="single" w:sz="4" w:space="0" w:color="00000A"/>
              <w:bottom w:val="single" w:sz="4" w:space="0" w:color="00000A"/>
              <w:right w:val="single" w:sz="4" w:space="0" w:color="00000A"/>
            </w:tcBorders>
            <w:shd w:val="clear" w:color="auto" w:fill="auto"/>
            <w:vAlign w:val="center"/>
          </w:tcPr>
          <w:p w:rsidR="00762C45" w:rsidRDefault="00762C45">
            <w:pPr>
              <w:ind w:hanging="50"/>
              <w:jc w:val="both"/>
              <w:rPr>
                <w:rFonts w:eastAsia="Times New Roman"/>
                <w:b/>
                <w:bCs/>
                <w:sz w:val="20"/>
                <w:szCs w:val="20"/>
              </w:rPr>
            </w:pPr>
          </w:p>
        </w:tc>
        <w:tc>
          <w:tcPr>
            <w:tcW w:w="570" w:type="dxa"/>
            <w:gridSpan w:val="2"/>
            <w:tcBorders>
              <w:top w:val="single" w:sz="4" w:space="0" w:color="000001"/>
              <w:left w:val="single" w:sz="4" w:space="0" w:color="00000A"/>
              <w:bottom w:val="single" w:sz="4" w:space="0" w:color="00000A"/>
              <w:right w:val="single" w:sz="4" w:space="0" w:color="00000A"/>
            </w:tcBorders>
            <w:shd w:val="clear" w:color="auto" w:fill="92D050"/>
            <w:vAlign w:val="center"/>
          </w:tcPr>
          <w:p w:rsidR="00762C45" w:rsidRDefault="00303B66">
            <w:pPr>
              <w:ind w:left="-156" w:right="-147"/>
              <w:jc w:val="center"/>
              <w:rPr>
                <w:rFonts w:eastAsia="Times New Roman"/>
                <w:b/>
                <w:sz w:val="20"/>
                <w:szCs w:val="20"/>
              </w:rPr>
            </w:pPr>
            <w:r>
              <w:rPr>
                <w:rFonts w:eastAsia="Times New Roman"/>
                <w:b/>
                <w:sz w:val="20"/>
                <w:szCs w:val="20"/>
              </w:rPr>
              <w:t>2016</w:t>
            </w:r>
          </w:p>
        </w:tc>
        <w:tc>
          <w:tcPr>
            <w:tcW w:w="675" w:type="dxa"/>
            <w:gridSpan w:val="2"/>
            <w:tcBorders>
              <w:top w:val="single" w:sz="4" w:space="0" w:color="000001"/>
              <w:left w:val="single" w:sz="4" w:space="0" w:color="00000A"/>
              <w:bottom w:val="single" w:sz="4" w:space="0" w:color="00000A"/>
              <w:right w:val="single" w:sz="4" w:space="0" w:color="00000A"/>
            </w:tcBorders>
            <w:shd w:val="clear" w:color="auto" w:fill="92D050"/>
            <w:vAlign w:val="center"/>
          </w:tcPr>
          <w:p w:rsidR="00762C45" w:rsidRDefault="00303B66">
            <w:pPr>
              <w:ind w:left="-156" w:right="-147" w:hanging="45"/>
              <w:jc w:val="center"/>
              <w:rPr>
                <w:rFonts w:eastAsia="Times New Roman"/>
                <w:b/>
                <w:sz w:val="20"/>
                <w:szCs w:val="20"/>
              </w:rPr>
            </w:pPr>
            <w:r>
              <w:rPr>
                <w:rFonts w:eastAsia="Times New Roman"/>
                <w:b/>
                <w:sz w:val="20"/>
                <w:szCs w:val="20"/>
              </w:rPr>
              <w:t>2017</w:t>
            </w:r>
          </w:p>
        </w:tc>
        <w:tc>
          <w:tcPr>
            <w:tcW w:w="510" w:type="dxa"/>
            <w:gridSpan w:val="2"/>
            <w:tcBorders>
              <w:top w:val="single" w:sz="4" w:space="0" w:color="000001"/>
              <w:left w:val="single" w:sz="4" w:space="0" w:color="00000A"/>
              <w:bottom w:val="single" w:sz="4" w:space="0" w:color="00000A"/>
              <w:right w:val="single" w:sz="4" w:space="0" w:color="00000A"/>
            </w:tcBorders>
            <w:shd w:val="clear" w:color="auto" w:fill="92D050"/>
            <w:vAlign w:val="center"/>
          </w:tcPr>
          <w:p w:rsidR="00762C45" w:rsidRDefault="00303B66">
            <w:pPr>
              <w:ind w:left="-156" w:right="-147"/>
              <w:jc w:val="center"/>
              <w:rPr>
                <w:rFonts w:eastAsia="Times New Roman"/>
                <w:b/>
                <w:sz w:val="20"/>
                <w:szCs w:val="20"/>
              </w:rPr>
            </w:pPr>
            <w:r>
              <w:rPr>
                <w:rFonts w:eastAsia="Times New Roman"/>
                <w:b/>
                <w:sz w:val="20"/>
                <w:szCs w:val="20"/>
              </w:rPr>
              <w:t>2018</w:t>
            </w:r>
          </w:p>
        </w:tc>
        <w:tc>
          <w:tcPr>
            <w:tcW w:w="2330" w:type="dxa"/>
            <w:gridSpan w:val="3"/>
            <w:vMerge/>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firstLine="20"/>
              <w:jc w:val="both"/>
              <w:rPr>
                <w:rFonts w:eastAsia="Times New Roman"/>
                <w:sz w:val="20"/>
                <w:szCs w:val="20"/>
              </w:rPr>
            </w:pPr>
          </w:p>
        </w:tc>
        <w:tc>
          <w:tcPr>
            <w:tcW w:w="3568" w:type="dxa"/>
            <w:vMerge/>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firstLine="20"/>
              <w:jc w:val="both"/>
              <w:rPr>
                <w:rFonts w:eastAsia="Times New Roman"/>
                <w:sz w:val="20"/>
                <w:szCs w:val="20"/>
              </w:rPr>
            </w:pPr>
          </w:p>
        </w:tc>
        <w:tc>
          <w:tcPr>
            <w:tcW w:w="2037" w:type="dxa"/>
            <w:gridSpan w:val="2"/>
            <w:vMerge/>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firstLine="20"/>
              <w:jc w:val="both"/>
              <w:rPr>
                <w:rFonts w:eastAsia="Times New Roman"/>
                <w:sz w:val="20"/>
                <w:szCs w:val="20"/>
              </w:rPr>
            </w:pPr>
          </w:p>
        </w:tc>
      </w:tr>
      <w:tr w:rsidR="00762C45">
        <w:trPr>
          <w:trHeight w:val="1185"/>
        </w:trPr>
        <w:tc>
          <w:tcPr>
            <w:tcW w:w="2202"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102" w:hanging="45"/>
              <w:jc w:val="both"/>
              <w:rPr>
                <w:rFonts w:eastAsia="Times New Roman"/>
                <w:sz w:val="20"/>
                <w:szCs w:val="20"/>
              </w:rPr>
            </w:pPr>
            <w:r>
              <w:rPr>
                <w:rFonts w:eastAsia="Times New Roman"/>
                <w:b/>
                <w:bCs/>
                <w:sz w:val="20"/>
                <w:szCs w:val="20"/>
              </w:rPr>
              <w:t xml:space="preserve">Objetivo 5. </w:t>
            </w:r>
            <w:r>
              <w:rPr>
                <w:rFonts w:eastAsia="Times New Roman"/>
                <w:sz w:val="20"/>
                <w:szCs w:val="20"/>
              </w:rPr>
              <w:t xml:space="preserve">Incrementar e fomentar parcerias e cooperações nacionais e internacionais, visando aumentar a qualidade da formação discente do </w:t>
            </w:r>
            <w:r>
              <w:rPr>
                <w:rFonts w:eastAsia="Times New Roman"/>
                <w:i/>
                <w:sz w:val="20"/>
                <w:szCs w:val="20"/>
              </w:rPr>
              <w:t>campus</w:t>
            </w:r>
          </w:p>
        </w:tc>
        <w:tc>
          <w:tcPr>
            <w:tcW w:w="3181"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both"/>
              <w:rPr>
                <w:sz w:val="20"/>
                <w:szCs w:val="20"/>
              </w:rPr>
            </w:pPr>
            <w:r>
              <w:rPr>
                <w:rFonts w:eastAsia="Times New Roman"/>
                <w:b/>
                <w:bCs/>
                <w:sz w:val="20"/>
                <w:szCs w:val="20"/>
              </w:rPr>
              <w:t xml:space="preserve">META 1. </w:t>
            </w:r>
            <w:r>
              <w:rPr>
                <w:rFonts w:eastAsia="Times New Roman"/>
                <w:sz w:val="20"/>
                <w:szCs w:val="20"/>
              </w:rPr>
              <w:t>Estreitar parcerias com a comunidade empresarial, visando ao aumento de vagas de estágio para os discentes do IFPA</w:t>
            </w:r>
          </w:p>
        </w:tc>
        <w:tc>
          <w:tcPr>
            <w:tcW w:w="570"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both"/>
              <w:rPr>
                <w:rFonts w:eastAsia="Times New Roman"/>
                <w:sz w:val="20"/>
                <w:szCs w:val="20"/>
              </w:rPr>
            </w:pPr>
            <w:r>
              <w:rPr>
                <w:rFonts w:eastAsia="Times New Roman"/>
                <w:sz w:val="20"/>
                <w:szCs w:val="20"/>
              </w:rPr>
              <w:t>10%</w:t>
            </w:r>
          </w:p>
        </w:tc>
        <w:tc>
          <w:tcPr>
            <w:tcW w:w="675"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both"/>
              <w:rPr>
                <w:rFonts w:eastAsia="Times New Roman"/>
                <w:sz w:val="20"/>
                <w:szCs w:val="20"/>
              </w:rPr>
            </w:pPr>
            <w:r>
              <w:rPr>
                <w:rFonts w:eastAsia="Times New Roman"/>
                <w:sz w:val="20"/>
                <w:szCs w:val="20"/>
              </w:rPr>
              <w:t>15%</w:t>
            </w:r>
          </w:p>
        </w:tc>
        <w:tc>
          <w:tcPr>
            <w:tcW w:w="510"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both"/>
              <w:rPr>
                <w:rFonts w:eastAsia="Times New Roman"/>
                <w:sz w:val="20"/>
                <w:szCs w:val="20"/>
              </w:rPr>
            </w:pPr>
            <w:r>
              <w:rPr>
                <w:rFonts w:eastAsia="Times New Roman"/>
                <w:sz w:val="20"/>
                <w:szCs w:val="20"/>
              </w:rPr>
              <w:t>20%</w:t>
            </w:r>
          </w:p>
        </w:tc>
        <w:tc>
          <w:tcPr>
            <w:tcW w:w="2330"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Percentual de aumento anual do número de vagas de estágio</w:t>
            </w:r>
          </w:p>
        </w:tc>
        <w:tc>
          <w:tcPr>
            <w:tcW w:w="3568"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both"/>
              <w:rPr>
                <w:sz w:val="20"/>
                <w:szCs w:val="20"/>
              </w:rPr>
            </w:pPr>
            <w:r>
              <w:rPr>
                <w:rFonts w:eastAsia="Times New Roman"/>
                <w:sz w:val="20"/>
                <w:szCs w:val="20"/>
              </w:rPr>
              <w:t xml:space="preserve">Firmar convênios com instituições locais para que os alunos do </w:t>
            </w:r>
            <w:r>
              <w:rPr>
                <w:rFonts w:eastAsia="Times New Roman"/>
                <w:i/>
                <w:sz w:val="20"/>
                <w:szCs w:val="20"/>
              </w:rPr>
              <w:t>campus</w:t>
            </w:r>
            <w:r>
              <w:rPr>
                <w:rFonts w:eastAsia="Times New Roman"/>
                <w:sz w:val="20"/>
                <w:szCs w:val="20"/>
              </w:rPr>
              <w:t xml:space="preserve"> possam realizar seus estágios curriculares obrigatórios</w:t>
            </w:r>
          </w:p>
        </w:tc>
        <w:tc>
          <w:tcPr>
            <w:tcW w:w="2037"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Direção Geral e Coordenações dos cursos</w:t>
            </w:r>
          </w:p>
        </w:tc>
      </w:tr>
      <w:tr w:rsidR="00762C45">
        <w:trPr>
          <w:trHeight w:val="765"/>
        </w:trPr>
        <w:tc>
          <w:tcPr>
            <w:tcW w:w="2202"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hanging="45"/>
              <w:jc w:val="both"/>
              <w:rPr>
                <w:sz w:val="20"/>
                <w:szCs w:val="20"/>
              </w:rPr>
            </w:pPr>
          </w:p>
        </w:tc>
        <w:tc>
          <w:tcPr>
            <w:tcW w:w="318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2. </w:t>
            </w:r>
            <w:r>
              <w:rPr>
                <w:rFonts w:eastAsia="Times New Roman"/>
                <w:sz w:val="20"/>
                <w:szCs w:val="20"/>
              </w:rPr>
              <w:t>Firmar parcerias nacionais e internacionais, visando intercâmbio de discentes e profissionais técnicos e docentes do IFPA</w:t>
            </w:r>
          </w:p>
        </w:tc>
        <w:tc>
          <w:tcPr>
            <w:tcW w:w="57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8</w:t>
            </w:r>
          </w:p>
        </w:tc>
        <w:tc>
          <w:tcPr>
            <w:tcW w:w="675"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10</w:t>
            </w:r>
          </w:p>
        </w:tc>
        <w:tc>
          <w:tcPr>
            <w:tcW w:w="51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15</w:t>
            </w:r>
          </w:p>
        </w:tc>
        <w:tc>
          <w:tcPr>
            <w:tcW w:w="2330"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Parcerias firmadas</w:t>
            </w:r>
          </w:p>
        </w:tc>
        <w:tc>
          <w:tcPr>
            <w:tcW w:w="356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 xml:space="preserve">Selecionar os alunos dos diversos cursos do </w:t>
            </w:r>
            <w:r>
              <w:rPr>
                <w:rFonts w:eastAsia="Times New Roman"/>
                <w:i/>
                <w:sz w:val="20"/>
                <w:szCs w:val="20"/>
              </w:rPr>
              <w:t>campus</w:t>
            </w:r>
            <w:r>
              <w:rPr>
                <w:rFonts w:eastAsia="Times New Roman"/>
                <w:sz w:val="20"/>
                <w:szCs w:val="20"/>
              </w:rPr>
              <w:t xml:space="preserve"> para participarem de intercâmbios com instituições parceiras conveniadas com o IFPA</w:t>
            </w:r>
          </w:p>
        </w:tc>
        <w:tc>
          <w:tcPr>
            <w:tcW w:w="2037"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Coordenações dos cursos</w:t>
            </w:r>
          </w:p>
        </w:tc>
      </w:tr>
      <w:tr w:rsidR="00762C45">
        <w:trPr>
          <w:trHeight w:val="1275"/>
        </w:trPr>
        <w:tc>
          <w:tcPr>
            <w:tcW w:w="2202"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hanging="45"/>
              <w:jc w:val="center"/>
              <w:rPr>
                <w:rFonts w:eastAsia="Times New Roman"/>
                <w:sz w:val="20"/>
                <w:szCs w:val="20"/>
              </w:rPr>
            </w:pPr>
          </w:p>
        </w:tc>
        <w:tc>
          <w:tcPr>
            <w:tcW w:w="318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3. </w:t>
            </w:r>
            <w:r>
              <w:rPr>
                <w:rFonts w:eastAsia="Times New Roman"/>
                <w:sz w:val="20"/>
                <w:szCs w:val="20"/>
              </w:rPr>
              <w:t xml:space="preserve">Aumentar participação de discentes e docentes do </w:t>
            </w:r>
            <w:r>
              <w:rPr>
                <w:rFonts w:eastAsia="Times New Roman"/>
                <w:i/>
                <w:sz w:val="20"/>
                <w:szCs w:val="20"/>
              </w:rPr>
              <w:t>campus</w:t>
            </w:r>
            <w:r>
              <w:rPr>
                <w:rFonts w:eastAsia="Times New Roman"/>
                <w:sz w:val="20"/>
                <w:szCs w:val="20"/>
              </w:rPr>
              <w:t xml:space="preserve"> no Programa Ciência Sem Fronteiras e Inglês Sem Fronteiras</w:t>
            </w:r>
          </w:p>
        </w:tc>
        <w:tc>
          <w:tcPr>
            <w:tcW w:w="57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10%</w:t>
            </w:r>
          </w:p>
        </w:tc>
        <w:tc>
          <w:tcPr>
            <w:tcW w:w="675"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10%</w:t>
            </w:r>
          </w:p>
        </w:tc>
        <w:tc>
          <w:tcPr>
            <w:tcW w:w="51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15%</w:t>
            </w:r>
          </w:p>
        </w:tc>
        <w:tc>
          <w:tcPr>
            <w:tcW w:w="2330"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Percentual de discentes e docentes aprovados</w:t>
            </w:r>
          </w:p>
        </w:tc>
        <w:tc>
          <w:tcPr>
            <w:tcW w:w="356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 xml:space="preserve">Divulgar no seio da comunidade acadêmica e selecionar os alunos dos diversos cursos do </w:t>
            </w:r>
            <w:r>
              <w:rPr>
                <w:rFonts w:eastAsia="Times New Roman"/>
                <w:i/>
                <w:sz w:val="20"/>
                <w:szCs w:val="20"/>
              </w:rPr>
              <w:t>campus</w:t>
            </w:r>
            <w:r>
              <w:rPr>
                <w:rFonts w:eastAsia="Times New Roman"/>
                <w:sz w:val="20"/>
                <w:szCs w:val="20"/>
              </w:rPr>
              <w:t xml:space="preserve"> para participarem desses programas governamentais</w:t>
            </w:r>
          </w:p>
        </w:tc>
        <w:tc>
          <w:tcPr>
            <w:tcW w:w="2037"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both"/>
              <w:rPr>
                <w:rFonts w:eastAsia="Times New Roman"/>
                <w:sz w:val="20"/>
                <w:szCs w:val="20"/>
              </w:rPr>
            </w:pPr>
            <w:r>
              <w:rPr>
                <w:rFonts w:eastAsia="Times New Roman"/>
                <w:sz w:val="20"/>
                <w:szCs w:val="20"/>
              </w:rPr>
              <w:t>Coordenações dos cursos</w:t>
            </w:r>
          </w:p>
          <w:p w:rsidR="00762C45" w:rsidRDefault="00762C45">
            <w:pPr>
              <w:ind w:left="57"/>
              <w:jc w:val="both"/>
              <w:rPr>
                <w:rFonts w:eastAsia="Times New Roman"/>
                <w:sz w:val="20"/>
                <w:szCs w:val="20"/>
              </w:rPr>
            </w:pPr>
          </w:p>
        </w:tc>
      </w:tr>
      <w:tr w:rsidR="00762C45">
        <w:trPr>
          <w:trHeight w:val="966"/>
        </w:trPr>
        <w:tc>
          <w:tcPr>
            <w:tcW w:w="2202"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hanging="45"/>
              <w:jc w:val="center"/>
              <w:rPr>
                <w:rFonts w:eastAsia="Times New Roman"/>
                <w:sz w:val="20"/>
                <w:szCs w:val="20"/>
              </w:rPr>
            </w:pPr>
          </w:p>
        </w:tc>
        <w:tc>
          <w:tcPr>
            <w:tcW w:w="318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4. </w:t>
            </w:r>
            <w:r>
              <w:rPr>
                <w:rFonts w:eastAsia="Times New Roman"/>
                <w:sz w:val="20"/>
                <w:szCs w:val="20"/>
              </w:rPr>
              <w:t>Manter e aumentar os acordos de cooperação internacionais firmados com instituições de outros países, visando a mobilidade estudantil internacional</w:t>
            </w:r>
          </w:p>
        </w:tc>
        <w:tc>
          <w:tcPr>
            <w:tcW w:w="57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8</w:t>
            </w:r>
          </w:p>
        </w:tc>
        <w:tc>
          <w:tcPr>
            <w:tcW w:w="675"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10</w:t>
            </w:r>
          </w:p>
        </w:tc>
        <w:tc>
          <w:tcPr>
            <w:tcW w:w="51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15</w:t>
            </w:r>
          </w:p>
        </w:tc>
        <w:tc>
          <w:tcPr>
            <w:tcW w:w="2330"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Acordos firmados</w:t>
            </w:r>
          </w:p>
        </w:tc>
        <w:tc>
          <w:tcPr>
            <w:tcW w:w="356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 xml:space="preserve">Divulgar junto ao corpo discente do </w:t>
            </w:r>
            <w:r>
              <w:rPr>
                <w:rFonts w:eastAsia="Times New Roman"/>
                <w:i/>
                <w:sz w:val="20"/>
                <w:szCs w:val="20"/>
              </w:rPr>
              <w:t>campus</w:t>
            </w:r>
            <w:r>
              <w:rPr>
                <w:rFonts w:eastAsia="Times New Roman"/>
                <w:sz w:val="20"/>
                <w:szCs w:val="20"/>
              </w:rPr>
              <w:t xml:space="preserve"> o programa de cooperação internacional e participar do processo de seleção dos alunos interessados</w:t>
            </w:r>
          </w:p>
        </w:tc>
        <w:tc>
          <w:tcPr>
            <w:tcW w:w="2037"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Coordenações dos cursos</w:t>
            </w:r>
          </w:p>
        </w:tc>
      </w:tr>
      <w:tr w:rsidR="00762C45">
        <w:trPr>
          <w:trHeight w:val="966"/>
        </w:trPr>
        <w:tc>
          <w:tcPr>
            <w:tcW w:w="2202" w:type="dxa"/>
            <w:vMerge w:val="restart"/>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762C45" w:rsidRDefault="00303B66">
            <w:pPr>
              <w:ind w:left="45" w:hanging="45"/>
              <w:jc w:val="both"/>
              <w:rPr>
                <w:rFonts w:eastAsia="Times New Roman"/>
                <w:sz w:val="20"/>
                <w:szCs w:val="20"/>
              </w:rPr>
            </w:pPr>
            <w:r>
              <w:rPr>
                <w:rFonts w:eastAsia="Times New Roman"/>
                <w:b/>
                <w:bCs/>
                <w:sz w:val="20"/>
                <w:szCs w:val="20"/>
              </w:rPr>
              <w:t>Objetivo 6</w:t>
            </w:r>
            <w:r>
              <w:rPr>
                <w:rFonts w:eastAsia="Times New Roman"/>
                <w:sz w:val="20"/>
                <w:szCs w:val="20"/>
              </w:rPr>
              <w:t>. Fomentar políticas de fortalecimento da Pesquisa e da Extensão</w:t>
            </w:r>
          </w:p>
        </w:tc>
        <w:tc>
          <w:tcPr>
            <w:tcW w:w="318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1. </w:t>
            </w:r>
            <w:r>
              <w:rPr>
                <w:rFonts w:eastAsia="Times New Roman"/>
                <w:sz w:val="20"/>
                <w:szCs w:val="20"/>
              </w:rPr>
              <w:t>Desenvolvimento de ações articuladas entre pesquisa científica, inovação e extensão tecnológica que atendam as demandas regionais</w:t>
            </w:r>
          </w:p>
        </w:tc>
        <w:tc>
          <w:tcPr>
            <w:tcW w:w="57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10</w:t>
            </w:r>
          </w:p>
        </w:tc>
        <w:tc>
          <w:tcPr>
            <w:tcW w:w="675"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15</w:t>
            </w:r>
          </w:p>
        </w:tc>
        <w:tc>
          <w:tcPr>
            <w:tcW w:w="51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20</w:t>
            </w:r>
          </w:p>
        </w:tc>
        <w:tc>
          <w:tcPr>
            <w:tcW w:w="2330"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Número de Projetos voltados para demandas regionais</w:t>
            </w:r>
          </w:p>
        </w:tc>
        <w:tc>
          <w:tcPr>
            <w:tcW w:w="356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Elaborar projetos de pesquisa e extensão em consonância com as potencialidades locais</w:t>
            </w:r>
          </w:p>
        </w:tc>
        <w:tc>
          <w:tcPr>
            <w:tcW w:w="2037"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Coordenação de Pesquisa e Extensão</w:t>
            </w:r>
          </w:p>
        </w:tc>
      </w:tr>
      <w:tr w:rsidR="00762C45">
        <w:trPr>
          <w:trHeight w:val="966"/>
        </w:trPr>
        <w:tc>
          <w:tcPr>
            <w:tcW w:w="2202" w:type="dxa"/>
            <w:vMerge/>
            <w:tcBorders>
              <w:top w:val="single" w:sz="4" w:space="0" w:color="000001"/>
              <w:left w:val="single" w:sz="4" w:space="0" w:color="000001"/>
              <w:bottom w:val="single" w:sz="4" w:space="0" w:color="000001"/>
              <w:right w:val="single" w:sz="4" w:space="0" w:color="000001"/>
            </w:tcBorders>
            <w:shd w:val="clear" w:color="auto" w:fill="auto"/>
            <w:tcMar>
              <w:left w:w="0" w:type="dxa"/>
            </w:tcMar>
            <w:vAlign w:val="center"/>
          </w:tcPr>
          <w:p w:rsidR="00762C45" w:rsidRDefault="00762C45">
            <w:pPr>
              <w:ind w:hanging="45"/>
              <w:jc w:val="both"/>
              <w:rPr>
                <w:rFonts w:eastAsia="Times New Roman"/>
                <w:sz w:val="20"/>
                <w:szCs w:val="20"/>
              </w:rPr>
            </w:pPr>
          </w:p>
        </w:tc>
        <w:tc>
          <w:tcPr>
            <w:tcW w:w="318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2. </w:t>
            </w:r>
            <w:r>
              <w:rPr>
                <w:rFonts w:eastAsia="Times New Roman"/>
                <w:sz w:val="20"/>
                <w:szCs w:val="20"/>
              </w:rPr>
              <w:t>Estimular a execução de projetos que articulem pesquisa e extensão ao ensino, nos diferentes níveis e modalidades</w:t>
            </w:r>
          </w:p>
        </w:tc>
        <w:tc>
          <w:tcPr>
            <w:tcW w:w="57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10</w:t>
            </w:r>
          </w:p>
        </w:tc>
        <w:tc>
          <w:tcPr>
            <w:tcW w:w="675"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15</w:t>
            </w:r>
          </w:p>
        </w:tc>
        <w:tc>
          <w:tcPr>
            <w:tcW w:w="51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20</w:t>
            </w:r>
          </w:p>
        </w:tc>
        <w:tc>
          <w:tcPr>
            <w:tcW w:w="2330"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Número de projetos fomentados que utilizem a pesquisa e extensão como instrumento de ensino-aprendizagem</w:t>
            </w:r>
          </w:p>
        </w:tc>
        <w:tc>
          <w:tcPr>
            <w:tcW w:w="356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 xml:space="preserve">Promover a integração dos projetos de pesquisa e extensão com as atividades acadêmicas dos cursos técnicos ministrados pelo </w:t>
            </w:r>
            <w:r>
              <w:rPr>
                <w:rFonts w:eastAsia="Times New Roman"/>
                <w:i/>
                <w:sz w:val="20"/>
                <w:szCs w:val="20"/>
              </w:rPr>
              <w:t>campus</w:t>
            </w:r>
          </w:p>
        </w:tc>
        <w:tc>
          <w:tcPr>
            <w:tcW w:w="2037"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Coordenações dos cursos e Coordenação de Pesquisa e Extensão</w:t>
            </w:r>
          </w:p>
        </w:tc>
      </w:tr>
      <w:tr w:rsidR="00762C45">
        <w:trPr>
          <w:trHeight w:val="966"/>
        </w:trPr>
        <w:tc>
          <w:tcPr>
            <w:tcW w:w="2202" w:type="dxa"/>
            <w:vMerge/>
            <w:tcBorders>
              <w:top w:val="single" w:sz="4" w:space="0" w:color="000001"/>
              <w:left w:val="single" w:sz="4" w:space="0" w:color="000001"/>
              <w:bottom w:val="single" w:sz="4" w:space="0" w:color="000001"/>
              <w:right w:val="single" w:sz="4" w:space="0" w:color="000001"/>
            </w:tcBorders>
            <w:shd w:val="clear" w:color="auto" w:fill="auto"/>
            <w:tcMar>
              <w:left w:w="0" w:type="dxa"/>
            </w:tcMar>
            <w:vAlign w:val="center"/>
          </w:tcPr>
          <w:p w:rsidR="00762C45" w:rsidRDefault="00762C45">
            <w:pPr>
              <w:ind w:hanging="45"/>
              <w:jc w:val="both"/>
              <w:rPr>
                <w:rFonts w:eastAsia="Times New Roman"/>
                <w:sz w:val="20"/>
                <w:szCs w:val="20"/>
              </w:rPr>
            </w:pPr>
          </w:p>
        </w:tc>
        <w:tc>
          <w:tcPr>
            <w:tcW w:w="318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3. </w:t>
            </w:r>
            <w:r>
              <w:rPr>
                <w:rFonts w:eastAsia="Times New Roman"/>
                <w:sz w:val="20"/>
                <w:szCs w:val="20"/>
              </w:rPr>
              <w:t>Promover licenciamentos de transferência de tecnologias e conhecimento para o setor privado</w:t>
            </w:r>
          </w:p>
        </w:tc>
        <w:tc>
          <w:tcPr>
            <w:tcW w:w="57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5</w:t>
            </w:r>
          </w:p>
        </w:tc>
        <w:tc>
          <w:tcPr>
            <w:tcW w:w="675"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5</w:t>
            </w:r>
          </w:p>
        </w:tc>
        <w:tc>
          <w:tcPr>
            <w:tcW w:w="510"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jc w:val="right"/>
              <w:rPr>
                <w:sz w:val="20"/>
                <w:szCs w:val="20"/>
              </w:rPr>
            </w:pPr>
            <w:r>
              <w:rPr>
                <w:sz w:val="20"/>
                <w:szCs w:val="20"/>
              </w:rPr>
              <w:t>5</w:t>
            </w:r>
          </w:p>
        </w:tc>
        <w:tc>
          <w:tcPr>
            <w:tcW w:w="2330"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Número de Licenciamentos transferidos realizados</w:t>
            </w:r>
          </w:p>
        </w:tc>
        <w:tc>
          <w:tcPr>
            <w:tcW w:w="356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 xml:space="preserve">Estimular a divulgação e transferências de tecnologias geradas a partir dos projetos executados pela comunidade acadêmica do </w:t>
            </w:r>
            <w:r>
              <w:rPr>
                <w:rFonts w:eastAsia="Times New Roman"/>
                <w:i/>
                <w:sz w:val="20"/>
                <w:szCs w:val="20"/>
              </w:rPr>
              <w:t>campus</w:t>
            </w:r>
          </w:p>
        </w:tc>
        <w:tc>
          <w:tcPr>
            <w:tcW w:w="2037"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Diretoria de Ensino e Coordenação de Pesquisa e Extensão</w:t>
            </w:r>
          </w:p>
        </w:tc>
      </w:tr>
    </w:tbl>
    <w:p w:rsidR="00762C45" w:rsidRDefault="00303B66">
      <w:pPr>
        <w:tabs>
          <w:tab w:val="left" w:pos="1674"/>
          <w:tab w:val="left" w:pos="4366"/>
          <w:tab w:val="left" w:pos="6007"/>
          <w:tab w:val="left" w:pos="8193"/>
          <w:tab w:val="left" w:pos="12303"/>
        </w:tabs>
        <w:jc w:val="center"/>
      </w:pPr>
      <w:r>
        <w:rPr>
          <w:rFonts w:eastAsia="Times New Roman"/>
          <w:b/>
          <w:bCs/>
          <w:sz w:val="20"/>
          <w:szCs w:val="20"/>
        </w:rPr>
        <w:lastRenderedPageBreak/>
        <w:t xml:space="preserve">              </w:t>
      </w:r>
      <w:r>
        <w:rPr>
          <w:rFonts w:eastAsia="Times New Roman"/>
          <w:b/>
          <w:bCs/>
          <w:sz w:val="20"/>
          <w:szCs w:val="20"/>
        </w:rPr>
        <w:tab/>
      </w:r>
    </w:p>
    <w:tbl>
      <w:tblPr>
        <w:tblW w:w="14850" w:type="dxa"/>
        <w:tblInd w:w="-138" w:type="dxa"/>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0" w:type="dxa"/>
          <w:right w:w="70" w:type="dxa"/>
        </w:tblCellMar>
        <w:tblLook w:val="04A0" w:firstRow="1" w:lastRow="0" w:firstColumn="1" w:lastColumn="0" w:noHBand="0" w:noVBand="1"/>
      </w:tblPr>
      <w:tblGrid>
        <w:gridCol w:w="2379"/>
        <w:gridCol w:w="143"/>
        <w:gridCol w:w="3665"/>
        <w:gridCol w:w="58"/>
        <w:gridCol w:w="578"/>
        <w:gridCol w:w="613"/>
        <w:gridCol w:w="616"/>
        <w:gridCol w:w="3073"/>
        <w:gridCol w:w="2424"/>
        <w:gridCol w:w="1301"/>
      </w:tblGrid>
      <w:tr w:rsidR="00762C45">
        <w:trPr>
          <w:trHeight w:val="300"/>
        </w:trPr>
        <w:tc>
          <w:tcPr>
            <w:tcW w:w="2523" w:type="dxa"/>
            <w:gridSpan w:val="2"/>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t>Objetivo</w:t>
            </w:r>
          </w:p>
        </w:tc>
        <w:tc>
          <w:tcPr>
            <w:tcW w:w="3666"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t>Metas</w:t>
            </w:r>
          </w:p>
        </w:tc>
        <w:tc>
          <w:tcPr>
            <w:tcW w:w="1865" w:type="dxa"/>
            <w:gridSpan w:val="4"/>
            <w:tcBorders>
              <w:top w:val="single" w:sz="4" w:space="0" w:color="00000A"/>
              <w:left w:val="single" w:sz="4" w:space="0" w:color="00000A"/>
              <w:bottom w:val="single" w:sz="4" w:space="0" w:color="00000A"/>
              <w:right w:val="single" w:sz="4" w:space="0" w:color="000001"/>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t>Ano</w:t>
            </w:r>
          </w:p>
        </w:tc>
        <w:tc>
          <w:tcPr>
            <w:tcW w:w="3074" w:type="dxa"/>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762C45">
            <w:pPr>
              <w:ind w:firstLine="20"/>
              <w:jc w:val="center"/>
              <w:rPr>
                <w:rFonts w:eastAsia="Times New Roman"/>
                <w:b/>
                <w:bCs/>
                <w:sz w:val="20"/>
                <w:szCs w:val="20"/>
              </w:rPr>
            </w:pPr>
          </w:p>
          <w:p w:rsidR="00762C45" w:rsidRDefault="00303B66">
            <w:pPr>
              <w:ind w:firstLine="20"/>
              <w:jc w:val="center"/>
              <w:rPr>
                <w:rFonts w:eastAsia="Times New Roman"/>
                <w:b/>
                <w:bCs/>
                <w:sz w:val="20"/>
                <w:szCs w:val="20"/>
              </w:rPr>
            </w:pPr>
            <w:r>
              <w:rPr>
                <w:rFonts w:eastAsia="Times New Roman"/>
                <w:b/>
                <w:bCs/>
                <w:sz w:val="20"/>
                <w:szCs w:val="20"/>
              </w:rPr>
              <w:t>Indicadores</w:t>
            </w:r>
          </w:p>
          <w:p w:rsidR="00762C45" w:rsidRDefault="00762C45">
            <w:pPr>
              <w:ind w:firstLine="20"/>
              <w:jc w:val="center"/>
              <w:rPr>
                <w:rFonts w:eastAsia="Times New Roman"/>
                <w:b/>
                <w:bCs/>
                <w:sz w:val="20"/>
                <w:szCs w:val="20"/>
              </w:rPr>
            </w:pPr>
          </w:p>
        </w:tc>
        <w:tc>
          <w:tcPr>
            <w:tcW w:w="2425" w:type="dxa"/>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jc w:val="center"/>
              <w:rPr>
                <w:rFonts w:eastAsia="Times New Roman"/>
                <w:b/>
                <w:bCs/>
                <w:sz w:val="20"/>
                <w:szCs w:val="20"/>
              </w:rPr>
            </w:pPr>
            <w:r>
              <w:rPr>
                <w:rFonts w:eastAsia="Times New Roman"/>
                <w:b/>
                <w:bCs/>
                <w:sz w:val="20"/>
                <w:szCs w:val="20"/>
              </w:rPr>
              <w:t>Estratégias</w:t>
            </w:r>
          </w:p>
        </w:tc>
        <w:tc>
          <w:tcPr>
            <w:tcW w:w="1295" w:type="dxa"/>
            <w:tcBorders>
              <w:top w:val="single" w:sz="4" w:space="0" w:color="00000A"/>
              <w:left w:val="single" w:sz="4" w:space="0" w:color="00000A"/>
              <w:bottom w:val="single" w:sz="4" w:space="0" w:color="000001"/>
              <w:right w:val="single" w:sz="4" w:space="0" w:color="00000A"/>
            </w:tcBorders>
            <w:shd w:val="clear" w:color="000000" w:fill="92D050"/>
            <w:vAlign w:val="center"/>
          </w:tcPr>
          <w:p w:rsidR="00762C45" w:rsidRDefault="00303B66">
            <w:pPr>
              <w:jc w:val="center"/>
              <w:rPr>
                <w:rFonts w:eastAsia="Times New Roman"/>
                <w:b/>
                <w:bCs/>
                <w:i/>
                <w:sz w:val="20"/>
                <w:szCs w:val="20"/>
              </w:rPr>
            </w:pPr>
            <w:r>
              <w:rPr>
                <w:rFonts w:eastAsia="Times New Roman"/>
                <w:b/>
                <w:bCs/>
                <w:i/>
                <w:sz w:val="20"/>
                <w:szCs w:val="20"/>
              </w:rPr>
              <w:t>Responsável</w:t>
            </w:r>
          </w:p>
        </w:tc>
      </w:tr>
      <w:tr w:rsidR="00762C45">
        <w:trPr>
          <w:trHeight w:val="274"/>
        </w:trPr>
        <w:tc>
          <w:tcPr>
            <w:tcW w:w="2523"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rPr>
                <w:rFonts w:eastAsia="Times New Roman"/>
                <w:b/>
                <w:bCs/>
                <w:sz w:val="20"/>
                <w:szCs w:val="20"/>
              </w:rPr>
            </w:pPr>
          </w:p>
        </w:tc>
        <w:tc>
          <w:tcPr>
            <w:tcW w:w="3666" w:type="dxa"/>
            <w:vMerge/>
            <w:tcBorders>
              <w:top w:val="single" w:sz="4" w:space="0" w:color="00000A"/>
              <w:left w:val="single" w:sz="4" w:space="0" w:color="00000A"/>
              <w:bottom w:val="single" w:sz="4" w:space="0" w:color="000001"/>
              <w:right w:val="single" w:sz="4" w:space="0" w:color="00000A"/>
            </w:tcBorders>
            <w:shd w:val="clear" w:color="auto" w:fill="auto"/>
            <w:tcMar>
              <w:left w:w="0" w:type="dxa"/>
            </w:tcMar>
          </w:tcPr>
          <w:p w:rsidR="00762C45" w:rsidRDefault="00762C45">
            <w:pPr>
              <w:jc w:val="both"/>
              <w:rPr>
                <w:rFonts w:eastAsia="Times New Roman"/>
                <w:b/>
                <w:bCs/>
                <w:sz w:val="20"/>
                <w:szCs w:val="20"/>
              </w:rPr>
            </w:pPr>
          </w:p>
        </w:tc>
        <w:tc>
          <w:tcPr>
            <w:tcW w:w="634" w:type="dxa"/>
            <w:gridSpan w:val="2"/>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20"/>
                <w:szCs w:val="20"/>
              </w:rPr>
            </w:pPr>
            <w:r>
              <w:rPr>
                <w:rFonts w:eastAsia="Times New Roman"/>
                <w:b/>
                <w:bCs/>
                <w:sz w:val="20"/>
                <w:szCs w:val="20"/>
              </w:rPr>
              <w:t>2016</w:t>
            </w:r>
          </w:p>
        </w:tc>
        <w:tc>
          <w:tcPr>
            <w:tcW w:w="613"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right="-70"/>
              <w:jc w:val="center"/>
              <w:rPr>
                <w:rFonts w:eastAsia="Times New Roman"/>
                <w:b/>
                <w:bCs/>
                <w:sz w:val="20"/>
                <w:szCs w:val="20"/>
              </w:rPr>
            </w:pPr>
            <w:r>
              <w:rPr>
                <w:rFonts w:eastAsia="Times New Roman"/>
                <w:b/>
                <w:bCs/>
                <w:sz w:val="20"/>
                <w:szCs w:val="20"/>
              </w:rPr>
              <w:t>2017</w:t>
            </w:r>
          </w:p>
        </w:tc>
        <w:tc>
          <w:tcPr>
            <w:tcW w:w="615"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20"/>
                <w:szCs w:val="20"/>
              </w:rPr>
            </w:pPr>
            <w:r>
              <w:rPr>
                <w:rFonts w:eastAsia="Times New Roman"/>
                <w:b/>
                <w:bCs/>
                <w:sz w:val="20"/>
                <w:szCs w:val="20"/>
              </w:rPr>
              <w:t>2018</w:t>
            </w:r>
          </w:p>
        </w:tc>
        <w:tc>
          <w:tcPr>
            <w:tcW w:w="3074" w:type="dxa"/>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762C45">
            <w:pPr>
              <w:jc w:val="both"/>
              <w:rPr>
                <w:rFonts w:eastAsia="Times New Roman"/>
                <w:b/>
                <w:bCs/>
                <w:sz w:val="20"/>
                <w:szCs w:val="20"/>
              </w:rPr>
            </w:pPr>
          </w:p>
        </w:tc>
        <w:tc>
          <w:tcPr>
            <w:tcW w:w="2425" w:type="dxa"/>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762C45">
            <w:pPr>
              <w:jc w:val="center"/>
              <w:rPr>
                <w:rFonts w:eastAsia="Times New Roman"/>
                <w:b/>
                <w:bCs/>
                <w:sz w:val="20"/>
                <w:szCs w:val="20"/>
              </w:rPr>
            </w:pPr>
          </w:p>
        </w:tc>
        <w:tc>
          <w:tcPr>
            <w:tcW w:w="1298" w:type="dxa"/>
            <w:tcBorders>
              <w:top w:val="single" w:sz="4" w:space="0" w:color="00000A"/>
              <w:left w:val="single" w:sz="4" w:space="0" w:color="00000A"/>
              <w:bottom w:val="single" w:sz="4" w:space="0" w:color="000001"/>
              <w:right w:val="single" w:sz="4" w:space="0" w:color="00000A"/>
            </w:tcBorders>
            <w:shd w:val="clear" w:color="000000" w:fill="92D050"/>
            <w:vAlign w:val="center"/>
          </w:tcPr>
          <w:p w:rsidR="00762C45" w:rsidRDefault="00762C45">
            <w:pPr>
              <w:jc w:val="center"/>
              <w:rPr>
                <w:rFonts w:eastAsia="Times New Roman"/>
                <w:b/>
                <w:bCs/>
                <w:sz w:val="20"/>
                <w:szCs w:val="20"/>
              </w:rPr>
            </w:pPr>
          </w:p>
        </w:tc>
      </w:tr>
      <w:tr w:rsidR="00762C45" w:rsidTr="00303B66">
        <w:trPr>
          <w:trHeight w:val="850"/>
        </w:trPr>
        <w:tc>
          <w:tcPr>
            <w:tcW w:w="2523" w:type="dxa"/>
            <w:gridSpan w:val="2"/>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jc w:val="both"/>
              <w:rPr>
                <w:rFonts w:eastAsia="Times New Roman"/>
                <w:sz w:val="20"/>
                <w:szCs w:val="20"/>
              </w:rPr>
            </w:pPr>
            <w:r>
              <w:rPr>
                <w:rFonts w:eastAsia="Times New Roman"/>
                <w:b/>
                <w:bCs/>
                <w:sz w:val="20"/>
                <w:szCs w:val="20"/>
              </w:rPr>
              <w:t xml:space="preserve">Objetivo 7. </w:t>
            </w:r>
            <w:r>
              <w:rPr>
                <w:rFonts w:eastAsia="Times New Roman"/>
                <w:sz w:val="20"/>
                <w:szCs w:val="20"/>
              </w:rPr>
              <w:t>Criar, normatizar, regulamentar e fomentar as políticas e programas institucionais vinculadas à extensão, no âmbito do IFPA</w:t>
            </w:r>
          </w:p>
          <w:p w:rsidR="00762C45" w:rsidRDefault="00762C45">
            <w:pPr>
              <w:ind w:hanging="45"/>
              <w:jc w:val="center"/>
              <w:rPr>
                <w:rFonts w:eastAsia="Times New Roman"/>
                <w:sz w:val="20"/>
                <w:szCs w:val="20"/>
              </w:rPr>
            </w:pPr>
          </w:p>
        </w:tc>
        <w:tc>
          <w:tcPr>
            <w:tcW w:w="36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1. </w:t>
            </w:r>
            <w:r>
              <w:rPr>
                <w:rFonts w:eastAsia="Times New Roman"/>
                <w:sz w:val="20"/>
                <w:szCs w:val="20"/>
              </w:rPr>
              <w:t>Produzir, sistematizar e difundir as informações relativas aos egressos do IFPA, em todos os níveis e modalidades</w:t>
            </w:r>
          </w:p>
        </w:tc>
        <w:tc>
          <w:tcPr>
            <w:tcW w:w="634"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100%</w:t>
            </w:r>
          </w:p>
        </w:tc>
        <w:tc>
          <w:tcPr>
            <w:tcW w:w="61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100%</w:t>
            </w:r>
          </w:p>
        </w:tc>
        <w:tc>
          <w:tcPr>
            <w:tcW w:w="6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100%</w:t>
            </w:r>
          </w:p>
        </w:tc>
        <w:tc>
          <w:tcPr>
            <w:tcW w:w="307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Percentual de egressos em acompanhamento</w:t>
            </w:r>
          </w:p>
        </w:tc>
        <w:tc>
          <w:tcPr>
            <w:tcW w:w="242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Elaborar estudos visand</w:t>
            </w:r>
            <w:r>
              <w:rPr>
                <w:sz w:val="20"/>
                <w:szCs w:val="20"/>
              </w:rPr>
              <w:t xml:space="preserve">o o acompanhamento de profissionais egressos do </w:t>
            </w:r>
            <w:r>
              <w:rPr>
                <w:rFonts w:eastAsia="Times New Roman"/>
                <w:i/>
                <w:sz w:val="20"/>
                <w:szCs w:val="20"/>
              </w:rPr>
              <w:t>campus</w:t>
            </w:r>
          </w:p>
        </w:tc>
        <w:tc>
          <w:tcPr>
            <w:tcW w:w="1298"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Coordenações dos cursos</w:t>
            </w:r>
          </w:p>
        </w:tc>
      </w:tr>
      <w:tr w:rsidR="00762C45">
        <w:trPr>
          <w:trHeight w:val="440"/>
        </w:trPr>
        <w:tc>
          <w:tcPr>
            <w:tcW w:w="2523"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ind w:hanging="45"/>
              <w:jc w:val="center"/>
              <w:rPr>
                <w:rFonts w:eastAsia="Times New Roman"/>
                <w:sz w:val="20"/>
                <w:szCs w:val="20"/>
              </w:rPr>
            </w:pPr>
          </w:p>
        </w:tc>
        <w:tc>
          <w:tcPr>
            <w:tcW w:w="36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2. </w:t>
            </w:r>
            <w:r>
              <w:rPr>
                <w:rFonts w:eastAsia="Times New Roman"/>
                <w:sz w:val="20"/>
                <w:szCs w:val="20"/>
              </w:rPr>
              <w:t>Implementar o Módulo Extensão do Sistema Integrado de Gestão de Planejamento e de Projetos do IFPA</w:t>
            </w:r>
          </w:p>
        </w:tc>
        <w:tc>
          <w:tcPr>
            <w:tcW w:w="634"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left="57"/>
              <w:jc w:val="right"/>
              <w:rPr>
                <w:rFonts w:eastAsia="Times New Roman"/>
                <w:sz w:val="20"/>
                <w:szCs w:val="20"/>
              </w:rPr>
            </w:pPr>
          </w:p>
        </w:tc>
        <w:tc>
          <w:tcPr>
            <w:tcW w:w="61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left="57"/>
              <w:jc w:val="right"/>
              <w:rPr>
                <w:rFonts w:eastAsia="Times New Roman"/>
                <w:sz w:val="20"/>
                <w:szCs w:val="20"/>
              </w:rPr>
            </w:pPr>
          </w:p>
        </w:tc>
        <w:tc>
          <w:tcPr>
            <w:tcW w:w="6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w:t>
            </w:r>
          </w:p>
        </w:tc>
        <w:tc>
          <w:tcPr>
            <w:tcW w:w="307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 xml:space="preserve">Módulo implementado em todos os </w:t>
            </w:r>
            <w:r>
              <w:rPr>
                <w:rFonts w:eastAsia="Times New Roman"/>
                <w:i/>
                <w:sz w:val="20"/>
                <w:szCs w:val="20"/>
              </w:rPr>
              <w:t>Campi</w:t>
            </w:r>
          </w:p>
        </w:tc>
        <w:tc>
          <w:tcPr>
            <w:tcW w:w="242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 xml:space="preserve">Colocar em prática no </w:t>
            </w:r>
            <w:r>
              <w:rPr>
                <w:rFonts w:eastAsia="Times New Roman"/>
                <w:i/>
                <w:sz w:val="20"/>
                <w:szCs w:val="20"/>
              </w:rPr>
              <w:t>campus</w:t>
            </w:r>
            <w:r>
              <w:rPr>
                <w:rFonts w:eastAsia="Times New Roman"/>
                <w:sz w:val="20"/>
                <w:szCs w:val="20"/>
              </w:rPr>
              <w:t xml:space="preserve"> as orientações definidas pelo Módulo de Extensão do SIGPP do IFPA</w:t>
            </w:r>
          </w:p>
        </w:tc>
        <w:tc>
          <w:tcPr>
            <w:tcW w:w="1298"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Coordenação de Pesquisa e Extensão e Coordenações de Cursos</w:t>
            </w:r>
          </w:p>
        </w:tc>
      </w:tr>
      <w:tr w:rsidR="00762C45">
        <w:trPr>
          <w:trHeight w:val="1020"/>
        </w:trPr>
        <w:tc>
          <w:tcPr>
            <w:tcW w:w="2523"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ind w:hanging="45"/>
              <w:jc w:val="center"/>
              <w:rPr>
                <w:rFonts w:eastAsia="Times New Roman"/>
                <w:sz w:val="20"/>
                <w:szCs w:val="20"/>
              </w:rPr>
            </w:pPr>
          </w:p>
        </w:tc>
        <w:tc>
          <w:tcPr>
            <w:tcW w:w="36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3. </w:t>
            </w:r>
            <w:r>
              <w:rPr>
                <w:rFonts w:eastAsia="Times New Roman"/>
                <w:sz w:val="20"/>
                <w:szCs w:val="20"/>
              </w:rPr>
              <w:t>Implantar o Banco de Projetos da PROEXT para fins de definição de parcerias e fontes de financiamento em potencial, em consonância com a política institucional</w:t>
            </w:r>
          </w:p>
        </w:tc>
        <w:tc>
          <w:tcPr>
            <w:tcW w:w="634"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762C45">
            <w:pPr>
              <w:ind w:left="57"/>
              <w:jc w:val="right"/>
              <w:rPr>
                <w:rFonts w:eastAsia="Times New Roman"/>
                <w:sz w:val="20"/>
                <w:szCs w:val="20"/>
              </w:rPr>
            </w:pPr>
          </w:p>
        </w:tc>
        <w:tc>
          <w:tcPr>
            <w:tcW w:w="61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w:t>
            </w:r>
          </w:p>
        </w:tc>
        <w:tc>
          <w:tcPr>
            <w:tcW w:w="6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1</w:t>
            </w:r>
          </w:p>
        </w:tc>
        <w:tc>
          <w:tcPr>
            <w:tcW w:w="307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Banco Implantado</w:t>
            </w:r>
          </w:p>
        </w:tc>
        <w:tc>
          <w:tcPr>
            <w:tcW w:w="242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Alimentar o banco de projetos da PROEXT</w:t>
            </w:r>
          </w:p>
        </w:tc>
        <w:tc>
          <w:tcPr>
            <w:tcW w:w="1298"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firstLine="20"/>
              <w:jc w:val="both"/>
              <w:rPr>
                <w:rFonts w:eastAsia="Times New Roman"/>
                <w:sz w:val="20"/>
                <w:szCs w:val="20"/>
              </w:rPr>
            </w:pPr>
            <w:r>
              <w:rPr>
                <w:rFonts w:eastAsia="Times New Roman"/>
                <w:sz w:val="20"/>
                <w:szCs w:val="20"/>
              </w:rPr>
              <w:t>Coordenação de Pesquisa e Extensão e Coordenações de Cursos</w:t>
            </w:r>
          </w:p>
        </w:tc>
      </w:tr>
      <w:tr w:rsidR="00762C45">
        <w:trPr>
          <w:trHeight w:val="498"/>
        </w:trPr>
        <w:tc>
          <w:tcPr>
            <w:tcW w:w="2380"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45" w:hanging="45"/>
              <w:jc w:val="both"/>
              <w:rPr>
                <w:rFonts w:eastAsia="Times New Roman"/>
                <w:sz w:val="20"/>
                <w:szCs w:val="20"/>
              </w:rPr>
            </w:pPr>
            <w:r>
              <w:rPr>
                <w:rFonts w:eastAsia="Times New Roman"/>
                <w:b/>
                <w:bCs/>
                <w:sz w:val="20"/>
                <w:szCs w:val="20"/>
              </w:rPr>
              <w:t xml:space="preserve">Objetivo 7. </w:t>
            </w:r>
            <w:r>
              <w:rPr>
                <w:rFonts w:eastAsia="Times New Roman"/>
                <w:sz w:val="20"/>
                <w:szCs w:val="20"/>
              </w:rPr>
              <w:t>Criar, normatizar, regulamentar e fomentar as políticas e programas institucionais vinculadas à extensão, no âmbito do IFPA</w:t>
            </w:r>
          </w:p>
        </w:tc>
        <w:tc>
          <w:tcPr>
            <w:tcW w:w="3807"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4. </w:t>
            </w:r>
            <w:r>
              <w:rPr>
                <w:rFonts w:eastAsia="Times New Roman"/>
                <w:sz w:val="20"/>
                <w:szCs w:val="20"/>
              </w:rPr>
              <w:t>Apoiar a criação de incubadoras no IFPA/CAV</w:t>
            </w:r>
          </w:p>
        </w:tc>
        <w:tc>
          <w:tcPr>
            <w:tcW w:w="636"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0</w:t>
            </w:r>
          </w:p>
        </w:tc>
        <w:tc>
          <w:tcPr>
            <w:tcW w:w="613"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sz w:val="20"/>
                <w:szCs w:val="20"/>
              </w:rPr>
            </w:pPr>
            <w:r>
              <w:rPr>
                <w:sz w:val="20"/>
                <w:szCs w:val="20"/>
              </w:rPr>
              <w:t>1</w:t>
            </w:r>
          </w:p>
        </w:tc>
        <w:tc>
          <w:tcPr>
            <w:tcW w:w="615"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sz w:val="20"/>
                <w:szCs w:val="20"/>
              </w:rPr>
            </w:pPr>
            <w:r>
              <w:rPr>
                <w:sz w:val="20"/>
                <w:szCs w:val="20"/>
              </w:rPr>
              <w:t>1</w:t>
            </w:r>
          </w:p>
        </w:tc>
        <w:tc>
          <w:tcPr>
            <w:tcW w:w="3074"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Incubadoras apoiadas</w:t>
            </w:r>
          </w:p>
        </w:tc>
        <w:tc>
          <w:tcPr>
            <w:tcW w:w="3723"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rPr>
                <w:sz w:val="20"/>
                <w:szCs w:val="20"/>
              </w:rPr>
            </w:pPr>
            <w:r>
              <w:rPr>
                <w:rFonts w:eastAsia="Times New Roman"/>
                <w:sz w:val="20"/>
                <w:szCs w:val="20"/>
              </w:rPr>
              <w:t xml:space="preserve">Ser incluída como incubadora em projetos de </w:t>
            </w:r>
            <w:r>
              <w:rPr>
                <w:rFonts w:eastAsia="Times New Roman"/>
                <w:i/>
                <w:sz w:val="20"/>
                <w:szCs w:val="20"/>
              </w:rPr>
              <w:t>campi</w:t>
            </w:r>
            <w:r>
              <w:rPr>
                <w:rFonts w:eastAsia="Times New Roman"/>
                <w:sz w:val="20"/>
                <w:szCs w:val="20"/>
              </w:rPr>
              <w:t xml:space="preserve"> parceiros</w:t>
            </w:r>
          </w:p>
        </w:tc>
      </w:tr>
      <w:tr w:rsidR="00762C45">
        <w:trPr>
          <w:trHeight w:val="1427"/>
        </w:trPr>
        <w:tc>
          <w:tcPr>
            <w:tcW w:w="2380"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ind w:hanging="45"/>
              <w:jc w:val="center"/>
              <w:rPr>
                <w:rFonts w:eastAsia="Times New Roman"/>
                <w:sz w:val="20"/>
                <w:szCs w:val="20"/>
              </w:rPr>
            </w:pPr>
          </w:p>
        </w:tc>
        <w:tc>
          <w:tcPr>
            <w:tcW w:w="3807"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5. </w:t>
            </w:r>
            <w:r>
              <w:rPr>
                <w:rFonts w:eastAsia="Times New Roman"/>
                <w:sz w:val="20"/>
                <w:szCs w:val="20"/>
              </w:rPr>
              <w:t>Criar, fomentar e produzir recursos instrucionais e instrumentais técnico-científico-educacionais, considerando os princípios de inclusão e do desenho Universal, em diversas mídias, resguardando o acesso e a usabilidade das várias audiências</w:t>
            </w:r>
          </w:p>
        </w:tc>
        <w:tc>
          <w:tcPr>
            <w:tcW w:w="636"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8</w:t>
            </w:r>
          </w:p>
        </w:tc>
        <w:tc>
          <w:tcPr>
            <w:tcW w:w="613"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sz w:val="20"/>
                <w:szCs w:val="20"/>
              </w:rPr>
            </w:pPr>
            <w:r>
              <w:rPr>
                <w:sz w:val="20"/>
                <w:szCs w:val="20"/>
              </w:rPr>
              <w:t>10</w:t>
            </w:r>
          </w:p>
        </w:tc>
        <w:tc>
          <w:tcPr>
            <w:tcW w:w="615"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sz w:val="20"/>
                <w:szCs w:val="20"/>
              </w:rPr>
            </w:pPr>
            <w:r>
              <w:rPr>
                <w:sz w:val="20"/>
                <w:szCs w:val="20"/>
              </w:rPr>
              <w:t>15</w:t>
            </w:r>
          </w:p>
        </w:tc>
        <w:tc>
          <w:tcPr>
            <w:tcW w:w="3074"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Número de produtos e serviços criados e produzidos</w:t>
            </w:r>
          </w:p>
        </w:tc>
        <w:tc>
          <w:tcPr>
            <w:tcW w:w="3723"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 xml:space="preserve">Contribuir para a criação de produtos e serviços oriundos do </w:t>
            </w:r>
            <w:r>
              <w:rPr>
                <w:rFonts w:eastAsia="Times New Roman"/>
                <w:i/>
                <w:sz w:val="20"/>
                <w:szCs w:val="20"/>
              </w:rPr>
              <w:t>campus</w:t>
            </w:r>
            <w:r>
              <w:rPr>
                <w:rFonts w:eastAsia="Times New Roman"/>
                <w:sz w:val="20"/>
                <w:szCs w:val="20"/>
              </w:rPr>
              <w:t xml:space="preserve"> </w:t>
            </w:r>
          </w:p>
        </w:tc>
      </w:tr>
      <w:tr w:rsidR="00762C45">
        <w:trPr>
          <w:trHeight w:val="1022"/>
        </w:trPr>
        <w:tc>
          <w:tcPr>
            <w:tcW w:w="2380"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45" w:hanging="45"/>
              <w:jc w:val="both"/>
              <w:rPr>
                <w:rFonts w:eastAsia="Times New Roman"/>
                <w:sz w:val="20"/>
                <w:szCs w:val="20"/>
              </w:rPr>
            </w:pPr>
            <w:r>
              <w:rPr>
                <w:rFonts w:eastAsia="Times New Roman"/>
                <w:b/>
                <w:bCs/>
                <w:sz w:val="20"/>
                <w:szCs w:val="20"/>
              </w:rPr>
              <w:t xml:space="preserve">Objetivo 8. </w:t>
            </w:r>
            <w:r>
              <w:rPr>
                <w:rFonts w:eastAsia="Times New Roman"/>
                <w:sz w:val="20"/>
                <w:szCs w:val="20"/>
              </w:rPr>
              <w:t>Promover a pesquisa científica e tecnológica</w:t>
            </w:r>
          </w:p>
        </w:tc>
        <w:tc>
          <w:tcPr>
            <w:tcW w:w="3807"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1. </w:t>
            </w:r>
            <w:r>
              <w:rPr>
                <w:rFonts w:eastAsia="Times New Roman"/>
                <w:sz w:val="20"/>
                <w:szCs w:val="20"/>
              </w:rPr>
              <w:t>Manter e ampliar o número de bolsas nos programas institucionais de iniciação científica, tecnológica e inovação do CNPq/CAPES/FAPESPA</w:t>
            </w:r>
          </w:p>
        </w:tc>
        <w:tc>
          <w:tcPr>
            <w:tcW w:w="636"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5</w:t>
            </w:r>
          </w:p>
        </w:tc>
        <w:tc>
          <w:tcPr>
            <w:tcW w:w="613"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sz w:val="20"/>
                <w:szCs w:val="20"/>
              </w:rPr>
            </w:pPr>
            <w:r>
              <w:rPr>
                <w:sz w:val="20"/>
                <w:szCs w:val="20"/>
              </w:rPr>
              <w:t>10</w:t>
            </w:r>
          </w:p>
        </w:tc>
        <w:tc>
          <w:tcPr>
            <w:tcW w:w="615"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sz w:val="20"/>
                <w:szCs w:val="20"/>
              </w:rPr>
            </w:pPr>
            <w:r>
              <w:rPr>
                <w:sz w:val="20"/>
                <w:szCs w:val="20"/>
              </w:rPr>
              <w:t>20</w:t>
            </w:r>
          </w:p>
        </w:tc>
        <w:tc>
          <w:tcPr>
            <w:tcW w:w="3074"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Número de bolsas de iniciação científica</w:t>
            </w:r>
          </w:p>
        </w:tc>
        <w:tc>
          <w:tcPr>
            <w:tcW w:w="3723"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 xml:space="preserve">Elaborar e submeter projetos de pesquisa aos editais das agências de fomento a fim de concorrer a bolsas de iniciação científica para os alunos do </w:t>
            </w:r>
            <w:r>
              <w:rPr>
                <w:rFonts w:eastAsia="Times New Roman"/>
                <w:i/>
                <w:sz w:val="20"/>
                <w:szCs w:val="20"/>
              </w:rPr>
              <w:t>campus</w:t>
            </w:r>
          </w:p>
        </w:tc>
      </w:tr>
      <w:tr w:rsidR="00762C45">
        <w:trPr>
          <w:trHeight w:val="795"/>
        </w:trPr>
        <w:tc>
          <w:tcPr>
            <w:tcW w:w="2380"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hanging="45"/>
              <w:jc w:val="both"/>
              <w:rPr>
                <w:rFonts w:eastAsia="Times New Roman"/>
                <w:sz w:val="20"/>
                <w:szCs w:val="20"/>
              </w:rPr>
            </w:pPr>
          </w:p>
        </w:tc>
        <w:tc>
          <w:tcPr>
            <w:tcW w:w="3807"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hanging="50"/>
              <w:jc w:val="both"/>
            </w:pPr>
            <w:r>
              <w:rPr>
                <w:rFonts w:eastAsia="Times New Roman"/>
                <w:b/>
                <w:bCs/>
                <w:sz w:val="20"/>
                <w:szCs w:val="20"/>
              </w:rPr>
              <w:t xml:space="preserve">META 2. </w:t>
            </w:r>
            <w:r>
              <w:rPr>
                <w:rFonts w:eastAsia="Times New Roman"/>
                <w:sz w:val="20"/>
                <w:szCs w:val="20"/>
              </w:rPr>
              <w:t>Incentivar e apoiar a implantação do Programa de Bolsas de Iniciação Científica, Tecnológica e Inovação (PIBICTI) no IFPA</w:t>
            </w:r>
          </w:p>
        </w:tc>
        <w:tc>
          <w:tcPr>
            <w:tcW w:w="636"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rFonts w:eastAsia="Times New Roman"/>
                <w:sz w:val="20"/>
                <w:szCs w:val="20"/>
              </w:rPr>
            </w:pPr>
            <w:r>
              <w:rPr>
                <w:rFonts w:eastAsia="Times New Roman"/>
                <w:sz w:val="20"/>
                <w:szCs w:val="20"/>
              </w:rPr>
              <w:t>x</w:t>
            </w:r>
          </w:p>
        </w:tc>
        <w:tc>
          <w:tcPr>
            <w:tcW w:w="613"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sz w:val="20"/>
                <w:szCs w:val="20"/>
              </w:rPr>
            </w:pPr>
            <w:r>
              <w:rPr>
                <w:sz w:val="20"/>
                <w:szCs w:val="20"/>
              </w:rPr>
              <w:t>x</w:t>
            </w:r>
          </w:p>
        </w:tc>
        <w:tc>
          <w:tcPr>
            <w:tcW w:w="615"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jc w:val="right"/>
              <w:rPr>
                <w:sz w:val="20"/>
                <w:szCs w:val="20"/>
              </w:rPr>
            </w:pPr>
            <w:r>
              <w:rPr>
                <w:sz w:val="20"/>
                <w:szCs w:val="20"/>
              </w:rPr>
              <w:t>x</w:t>
            </w:r>
          </w:p>
        </w:tc>
        <w:tc>
          <w:tcPr>
            <w:tcW w:w="3074"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 xml:space="preserve">Número de </w:t>
            </w:r>
            <w:r>
              <w:rPr>
                <w:rFonts w:eastAsia="Times New Roman"/>
                <w:i/>
                <w:sz w:val="20"/>
                <w:szCs w:val="20"/>
              </w:rPr>
              <w:t>Campi</w:t>
            </w:r>
            <w:r>
              <w:rPr>
                <w:rFonts w:eastAsia="Times New Roman"/>
                <w:sz w:val="20"/>
                <w:szCs w:val="20"/>
              </w:rPr>
              <w:t xml:space="preserve"> com Programa de Iniciação Científica implantado</w:t>
            </w:r>
          </w:p>
        </w:tc>
        <w:tc>
          <w:tcPr>
            <w:tcW w:w="3723"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ind w:left="57" w:firstLine="20"/>
              <w:jc w:val="both"/>
              <w:rPr>
                <w:sz w:val="20"/>
                <w:szCs w:val="20"/>
              </w:rPr>
            </w:pPr>
            <w:r>
              <w:rPr>
                <w:rFonts w:eastAsia="Times New Roman"/>
                <w:sz w:val="20"/>
                <w:szCs w:val="20"/>
              </w:rPr>
              <w:t xml:space="preserve">Submeter os projetos de pesquisa do </w:t>
            </w:r>
            <w:r>
              <w:rPr>
                <w:rFonts w:eastAsia="Times New Roman"/>
                <w:i/>
                <w:sz w:val="20"/>
                <w:szCs w:val="20"/>
              </w:rPr>
              <w:t>campus</w:t>
            </w:r>
            <w:r>
              <w:rPr>
                <w:rFonts w:eastAsia="Times New Roman"/>
                <w:sz w:val="20"/>
                <w:szCs w:val="20"/>
              </w:rPr>
              <w:t xml:space="preserve"> aos editais do PIBICT</w:t>
            </w:r>
          </w:p>
        </w:tc>
      </w:tr>
      <w:tr w:rsidR="00762C45">
        <w:trPr>
          <w:trHeight w:val="300"/>
        </w:trPr>
        <w:tc>
          <w:tcPr>
            <w:tcW w:w="2523" w:type="dxa"/>
            <w:gridSpan w:val="2"/>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lastRenderedPageBreak/>
              <w:t>Objetivo</w:t>
            </w:r>
          </w:p>
        </w:tc>
        <w:tc>
          <w:tcPr>
            <w:tcW w:w="3724" w:type="dxa"/>
            <w:gridSpan w:val="2"/>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t>Metas</w:t>
            </w:r>
          </w:p>
        </w:tc>
        <w:tc>
          <w:tcPr>
            <w:tcW w:w="1804" w:type="dxa"/>
            <w:gridSpan w:val="3"/>
            <w:tcBorders>
              <w:top w:val="single" w:sz="4" w:space="0" w:color="00000A"/>
              <w:left w:val="single" w:sz="4" w:space="0" w:color="00000A"/>
              <w:bottom w:val="single" w:sz="4" w:space="0" w:color="00000A"/>
              <w:right w:val="single" w:sz="4" w:space="0" w:color="000001"/>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t>Ano</w:t>
            </w:r>
          </w:p>
        </w:tc>
        <w:tc>
          <w:tcPr>
            <w:tcW w:w="3074" w:type="dxa"/>
            <w:tcBorders>
              <w:top w:val="single" w:sz="4" w:space="0" w:color="00000A"/>
              <w:left w:val="single" w:sz="4" w:space="0" w:color="00000A"/>
              <w:bottom w:val="single" w:sz="4" w:space="0" w:color="000001"/>
              <w:right w:val="single" w:sz="4" w:space="0" w:color="00000A"/>
            </w:tcBorders>
            <w:shd w:val="clear" w:color="000000" w:fill="92D050"/>
            <w:tcMar>
              <w:left w:w="0" w:type="dxa"/>
            </w:tcMar>
          </w:tcPr>
          <w:p w:rsidR="00762C45" w:rsidRDefault="00762C45">
            <w:pPr>
              <w:ind w:firstLine="20"/>
              <w:jc w:val="center"/>
              <w:rPr>
                <w:rFonts w:eastAsia="Times New Roman"/>
                <w:b/>
                <w:bCs/>
                <w:sz w:val="20"/>
                <w:szCs w:val="20"/>
              </w:rPr>
            </w:pPr>
          </w:p>
          <w:p w:rsidR="00762C45" w:rsidRDefault="00303B66">
            <w:pPr>
              <w:ind w:firstLine="20"/>
              <w:jc w:val="center"/>
            </w:pPr>
            <w:r>
              <w:rPr>
                <w:rFonts w:eastAsia="Times New Roman"/>
                <w:b/>
                <w:bCs/>
                <w:sz w:val="20"/>
                <w:szCs w:val="20"/>
              </w:rPr>
              <w:t>Indicadores</w:t>
            </w:r>
          </w:p>
        </w:tc>
        <w:tc>
          <w:tcPr>
            <w:tcW w:w="3723" w:type="dxa"/>
            <w:gridSpan w:val="2"/>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jc w:val="center"/>
              <w:rPr>
                <w:rFonts w:eastAsia="Times New Roman"/>
                <w:b/>
                <w:bCs/>
                <w:sz w:val="20"/>
                <w:szCs w:val="20"/>
              </w:rPr>
            </w:pPr>
            <w:r>
              <w:rPr>
                <w:rFonts w:eastAsia="Times New Roman"/>
                <w:b/>
                <w:bCs/>
                <w:sz w:val="20"/>
                <w:szCs w:val="20"/>
              </w:rPr>
              <w:t>Estratégias</w:t>
            </w:r>
          </w:p>
        </w:tc>
      </w:tr>
      <w:tr w:rsidR="00762C45">
        <w:trPr>
          <w:trHeight w:val="330"/>
        </w:trPr>
        <w:tc>
          <w:tcPr>
            <w:tcW w:w="2523"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rPr>
                <w:rFonts w:eastAsia="Times New Roman"/>
                <w:b/>
                <w:bCs/>
                <w:sz w:val="20"/>
                <w:szCs w:val="20"/>
              </w:rPr>
            </w:pPr>
          </w:p>
        </w:tc>
        <w:tc>
          <w:tcPr>
            <w:tcW w:w="3724"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0" w:type="dxa"/>
            </w:tcMar>
          </w:tcPr>
          <w:p w:rsidR="00762C45" w:rsidRDefault="00762C45">
            <w:pPr>
              <w:jc w:val="both"/>
              <w:rPr>
                <w:rFonts w:eastAsia="Times New Roman"/>
                <w:b/>
                <w:bCs/>
                <w:sz w:val="20"/>
                <w:szCs w:val="20"/>
              </w:rPr>
            </w:pPr>
          </w:p>
        </w:tc>
        <w:tc>
          <w:tcPr>
            <w:tcW w:w="573"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20"/>
                <w:szCs w:val="20"/>
              </w:rPr>
            </w:pPr>
            <w:r>
              <w:rPr>
                <w:rFonts w:eastAsia="Times New Roman"/>
                <w:b/>
                <w:bCs/>
                <w:sz w:val="20"/>
                <w:szCs w:val="20"/>
              </w:rPr>
              <w:t>2016</w:t>
            </w:r>
          </w:p>
        </w:tc>
        <w:tc>
          <w:tcPr>
            <w:tcW w:w="613"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right="-70"/>
              <w:jc w:val="center"/>
              <w:rPr>
                <w:rFonts w:eastAsia="Times New Roman"/>
                <w:b/>
                <w:bCs/>
                <w:sz w:val="20"/>
                <w:szCs w:val="20"/>
              </w:rPr>
            </w:pPr>
            <w:r>
              <w:rPr>
                <w:rFonts w:eastAsia="Times New Roman"/>
                <w:b/>
                <w:bCs/>
                <w:sz w:val="20"/>
                <w:szCs w:val="20"/>
              </w:rPr>
              <w:t>2017</w:t>
            </w:r>
          </w:p>
        </w:tc>
        <w:tc>
          <w:tcPr>
            <w:tcW w:w="615"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20"/>
                <w:szCs w:val="20"/>
              </w:rPr>
            </w:pPr>
            <w:r>
              <w:rPr>
                <w:rFonts w:eastAsia="Times New Roman"/>
                <w:b/>
                <w:bCs/>
                <w:sz w:val="20"/>
                <w:szCs w:val="20"/>
              </w:rPr>
              <w:t>2018</w:t>
            </w:r>
          </w:p>
        </w:tc>
        <w:tc>
          <w:tcPr>
            <w:tcW w:w="3074" w:type="dxa"/>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jc w:val="both"/>
              <w:rPr>
                <w:rFonts w:eastAsia="Times New Roman"/>
                <w:b/>
                <w:bCs/>
                <w:sz w:val="20"/>
                <w:szCs w:val="20"/>
              </w:rPr>
            </w:pPr>
          </w:p>
        </w:tc>
        <w:tc>
          <w:tcPr>
            <w:tcW w:w="3726" w:type="dxa"/>
            <w:gridSpan w:val="2"/>
            <w:tcBorders>
              <w:top w:val="single" w:sz="4" w:space="0" w:color="000001"/>
              <w:left w:val="single" w:sz="4" w:space="0" w:color="00000A"/>
              <w:bottom w:val="single" w:sz="4" w:space="0" w:color="00000A"/>
              <w:right w:val="single" w:sz="4" w:space="0" w:color="00000A"/>
            </w:tcBorders>
            <w:shd w:val="clear" w:color="auto" w:fill="auto"/>
            <w:tcMar>
              <w:left w:w="0" w:type="dxa"/>
            </w:tcMar>
          </w:tcPr>
          <w:p w:rsidR="00762C45" w:rsidRDefault="00762C45">
            <w:pPr>
              <w:jc w:val="center"/>
              <w:rPr>
                <w:rFonts w:eastAsia="Times New Roman"/>
                <w:b/>
                <w:bCs/>
                <w:sz w:val="20"/>
                <w:szCs w:val="20"/>
              </w:rPr>
            </w:pPr>
          </w:p>
        </w:tc>
      </w:tr>
      <w:tr w:rsidR="00762C45">
        <w:trPr>
          <w:trHeight w:val="445"/>
        </w:trPr>
        <w:tc>
          <w:tcPr>
            <w:tcW w:w="2523" w:type="dxa"/>
            <w:gridSpan w:val="2"/>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45" w:hanging="45"/>
              <w:jc w:val="both"/>
              <w:rPr>
                <w:rFonts w:eastAsia="Times New Roman"/>
                <w:sz w:val="20"/>
                <w:szCs w:val="20"/>
              </w:rPr>
            </w:pPr>
            <w:r>
              <w:rPr>
                <w:rFonts w:eastAsia="Times New Roman"/>
                <w:b/>
                <w:bCs/>
                <w:sz w:val="20"/>
                <w:szCs w:val="20"/>
              </w:rPr>
              <w:t xml:space="preserve">Objetivo 8. </w:t>
            </w:r>
            <w:r>
              <w:rPr>
                <w:rFonts w:eastAsia="Times New Roman"/>
                <w:sz w:val="20"/>
                <w:szCs w:val="20"/>
              </w:rPr>
              <w:t>Promover a pesquisa científica e tecnológica</w:t>
            </w:r>
          </w:p>
        </w:tc>
        <w:tc>
          <w:tcPr>
            <w:tcW w:w="3724"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hanging="50"/>
              <w:jc w:val="both"/>
            </w:pPr>
            <w:r>
              <w:rPr>
                <w:rFonts w:eastAsia="Times New Roman"/>
                <w:b/>
                <w:bCs/>
                <w:sz w:val="20"/>
                <w:szCs w:val="20"/>
              </w:rPr>
              <w:t xml:space="preserve">META 3. </w:t>
            </w:r>
            <w:r>
              <w:rPr>
                <w:rFonts w:eastAsia="Times New Roman"/>
                <w:sz w:val="20"/>
                <w:szCs w:val="20"/>
              </w:rPr>
              <w:t>Incentivar a participação de servidores em eventos científicos através de editais</w:t>
            </w:r>
          </w:p>
        </w:tc>
        <w:tc>
          <w:tcPr>
            <w:tcW w:w="57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w:t>
            </w:r>
          </w:p>
        </w:tc>
        <w:tc>
          <w:tcPr>
            <w:tcW w:w="61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10</w:t>
            </w:r>
          </w:p>
        </w:tc>
        <w:tc>
          <w:tcPr>
            <w:tcW w:w="6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10</w:t>
            </w:r>
          </w:p>
        </w:tc>
        <w:tc>
          <w:tcPr>
            <w:tcW w:w="307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Número acumulado de beneficiários no Edital de eventos</w:t>
            </w:r>
          </w:p>
        </w:tc>
        <w:tc>
          <w:tcPr>
            <w:tcW w:w="3726"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Aprovar trabalhos de pesquisa para apresentação dos seus resultados em eventos científicos e concorrer aos recursos disponibilizados em editais</w:t>
            </w:r>
          </w:p>
        </w:tc>
      </w:tr>
      <w:tr w:rsidR="00762C45">
        <w:trPr>
          <w:trHeight w:val="510"/>
        </w:trPr>
        <w:tc>
          <w:tcPr>
            <w:tcW w:w="2523"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hanging="45"/>
              <w:jc w:val="center"/>
              <w:rPr>
                <w:rFonts w:eastAsia="Times New Roman"/>
                <w:sz w:val="20"/>
                <w:szCs w:val="20"/>
              </w:rPr>
            </w:pPr>
          </w:p>
        </w:tc>
        <w:tc>
          <w:tcPr>
            <w:tcW w:w="3724"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hanging="50"/>
              <w:jc w:val="both"/>
            </w:pPr>
            <w:r>
              <w:rPr>
                <w:rFonts w:eastAsia="Times New Roman"/>
                <w:b/>
                <w:bCs/>
                <w:sz w:val="20"/>
                <w:szCs w:val="20"/>
              </w:rPr>
              <w:t xml:space="preserve">META 4. </w:t>
            </w:r>
            <w:r>
              <w:rPr>
                <w:rFonts w:eastAsia="Times New Roman"/>
                <w:sz w:val="20"/>
                <w:szCs w:val="20"/>
              </w:rPr>
              <w:t>Realizar o Seminário Institucional de Iniciação Científica, Tecnológica e Inovação. Realizar o VI, VII, VIII, IX e X SICTI em diferentes Campi do IFPA, com a participação dos bolsistas do PIBITI e captação de recursos externos</w:t>
            </w:r>
          </w:p>
        </w:tc>
        <w:tc>
          <w:tcPr>
            <w:tcW w:w="57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1</w:t>
            </w:r>
          </w:p>
        </w:tc>
        <w:tc>
          <w:tcPr>
            <w:tcW w:w="61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1</w:t>
            </w:r>
          </w:p>
        </w:tc>
        <w:tc>
          <w:tcPr>
            <w:tcW w:w="6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1</w:t>
            </w:r>
          </w:p>
        </w:tc>
        <w:tc>
          <w:tcPr>
            <w:tcW w:w="307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Número de Seminários Institucionais de Iniciação Científica, Tecnológica e Inovação por ano</w:t>
            </w:r>
          </w:p>
        </w:tc>
        <w:tc>
          <w:tcPr>
            <w:tcW w:w="3726"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 xml:space="preserve">Promover o I Seminário de Iniciação Científica e Tecnológica do </w:t>
            </w:r>
            <w:r>
              <w:rPr>
                <w:rFonts w:eastAsia="Times New Roman"/>
                <w:i/>
                <w:sz w:val="20"/>
                <w:szCs w:val="20"/>
              </w:rPr>
              <w:t>campus</w:t>
            </w:r>
          </w:p>
        </w:tc>
      </w:tr>
      <w:tr w:rsidR="00762C45">
        <w:trPr>
          <w:trHeight w:val="278"/>
        </w:trPr>
        <w:tc>
          <w:tcPr>
            <w:tcW w:w="2523"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hanging="45"/>
              <w:jc w:val="center"/>
              <w:rPr>
                <w:rFonts w:eastAsia="Times New Roman"/>
                <w:sz w:val="20"/>
                <w:szCs w:val="20"/>
              </w:rPr>
            </w:pPr>
          </w:p>
        </w:tc>
        <w:tc>
          <w:tcPr>
            <w:tcW w:w="372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hanging="50"/>
              <w:jc w:val="both"/>
            </w:pPr>
            <w:r>
              <w:rPr>
                <w:rFonts w:eastAsia="Times New Roman"/>
                <w:b/>
                <w:bCs/>
                <w:sz w:val="20"/>
                <w:szCs w:val="20"/>
              </w:rPr>
              <w:t xml:space="preserve">META 5. </w:t>
            </w:r>
            <w:r>
              <w:rPr>
                <w:rFonts w:eastAsia="Times New Roman"/>
                <w:sz w:val="20"/>
                <w:szCs w:val="20"/>
              </w:rPr>
              <w:t>Captação de recursos externos para a pesquisa. Encaminhamento de propostas para os Editais Institucionais da FAPESPA, CAPES, CNPq e FINEP</w:t>
            </w:r>
          </w:p>
        </w:tc>
        <w:tc>
          <w:tcPr>
            <w:tcW w:w="573"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1</w:t>
            </w:r>
          </w:p>
        </w:tc>
        <w:tc>
          <w:tcPr>
            <w:tcW w:w="613"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2</w:t>
            </w:r>
          </w:p>
        </w:tc>
        <w:tc>
          <w:tcPr>
            <w:tcW w:w="6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2</w:t>
            </w:r>
          </w:p>
        </w:tc>
        <w:tc>
          <w:tcPr>
            <w:tcW w:w="30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Número de projetos institucionais aprovados por ano para captação de recursos externos para pesquisa</w:t>
            </w:r>
          </w:p>
        </w:tc>
        <w:tc>
          <w:tcPr>
            <w:tcW w:w="3726"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Elaborar e submeter projetos de pesquisa aos editais das agências de fomento a fim de concorrer a recursos financeiros para a sua execução.</w:t>
            </w:r>
          </w:p>
        </w:tc>
      </w:tr>
      <w:tr w:rsidR="00762C45">
        <w:trPr>
          <w:trHeight w:val="278"/>
        </w:trPr>
        <w:tc>
          <w:tcPr>
            <w:tcW w:w="2523" w:type="dxa"/>
            <w:gridSpan w:val="2"/>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45" w:hanging="45"/>
              <w:jc w:val="both"/>
              <w:rPr>
                <w:rFonts w:eastAsia="Times New Roman"/>
                <w:b/>
                <w:bCs/>
                <w:sz w:val="20"/>
                <w:szCs w:val="20"/>
              </w:rPr>
            </w:pPr>
            <w:r>
              <w:rPr>
                <w:rFonts w:eastAsia="Times New Roman"/>
                <w:b/>
                <w:bCs/>
                <w:sz w:val="20"/>
                <w:szCs w:val="20"/>
              </w:rPr>
              <w:t>Objetivo 9</w:t>
            </w:r>
            <w:r>
              <w:rPr>
                <w:rFonts w:eastAsia="Times New Roman"/>
                <w:sz w:val="20"/>
                <w:szCs w:val="20"/>
              </w:rPr>
              <w:t>. Promover o ensino de Pós-Graduação e a qualificação</w:t>
            </w:r>
          </w:p>
        </w:tc>
        <w:tc>
          <w:tcPr>
            <w:tcW w:w="372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hanging="50"/>
              <w:jc w:val="both"/>
              <w:rPr>
                <w:rFonts w:eastAsia="Times New Roman"/>
                <w:sz w:val="20"/>
                <w:szCs w:val="20"/>
              </w:rPr>
            </w:pPr>
            <w:r>
              <w:rPr>
                <w:rFonts w:eastAsia="Times New Roman"/>
                <w:b/>
                <w:bCs/>
                <w:sz w:val="20"/>
                <w:szCs w:val="20"/>
              </w:rPr>
              <w:t xml:space="preserve">META 1. </w:t>
            </w:r>
            <w:r>
              <w:rPr>
                <w:rFonts w:eastAsia="Times New Roman"/>
                <w:sz w:val="20"/>
                <w:szCs w:val="20"/>
              </w:rPr>
              <w:t>Manter e ampliar os convênios de cooperação técnico-científico e educacional (Minter, Dinter e cooperações) com IES públicas para a qualificação do corpo de servidores do IFPA</w:t>
            </w:r>
          </w:p>
          <w:p w:rsidR="00762C45" w:rsidRDefault="00762C45">
            <w:pPr>
              <w:spacing w:before="60" w:after="60"/>
              <w:ind w:left="57" w:hanging="50"/>
              <w:jc w:val="both"/>
              <w:rPr>
                <w:rFonts w:eastAsia="Times New Roman"/>
                <w:b/>
                <w:bCs/>
                <w:color w:val="FF0000"/>
                <w:sz w:val="20"/>
                <w:szCs w:val="20"/>
              </w:rPr>
            </w:pPr>
          </w:p>
        </w:tc>
        <w:tc>
          <w:tcPr>
            <w:tcW w:w="573"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2</w:t>
            </w:r>
          </w:p>
        </w:tc>
        <w:tc>
          <w:tcPr>
            <w:tcW w:w="613"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5</w:t>
            </w:r>
          </w:p>
        </w:tc>
        <w:tc>
          <w:tcPr>
            <w:tcW w:w="6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5</w:t>
            </w:r>
          </w:p>
        </w:tc>
        <w:tc>
          <w:tcPr>
            <w:tcW w:w="30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 xml:space="preserve">Número de convênios vigentes de cooperação técnico-científico e educacional (Minter, Dinter e cooperações) com IES públicas para a qualificação do corpo de servidores do </w:t>
            </w:r>
            <w:r>
              <w:rPr>
                <w:rFonts w:eastAsia="Times New Roman"/>
                <w:i/>
                <w:sz w:val="20"/>
                <w:szCs w:val="20"/>
              </w:rPr>
              <w:t>campus</w:t>
            </w:r>
          </w:p>
        </w:tc>
        <w:tc>
          <w:tcPr>
            <w:tcW w:w="3726"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 xml:space="preserve">Qualificar servidores do </w:t>
            </w:r>
            <w:r>
              <w:rPr>
                <w:rFonts w:eastAsia="Times New Roman"/>
                <w:i/>
                <w:sz w:val="20"/>
                <w:szCs w:val="20"/>
              </w:rPr>
              <w:t>campus</w:t>
            </w:r>
            <w:r>
              <w:rPr>
                <w:rFonts w:eastAsia="Times New Roman"/>
                <w:sz w:val="20"/>
                <w:szCs w:val="20"/>
              </w:rPr>
              <w:t xml:space="preserve"> através de cursos Minter e Dinter em convênio com IES </w:t>
            </w:r>
          </w:p>
        </w:tc>
      </w:tr>
      <w:tr w:rsidR="00762C45">
        <w:trPr>
          <w:trHeight w:val="278"/>
        </w:trPr>
        <w:tc>
          <w:tcPr>
            <w:tcW w:w="2523"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hanging="45"/>
              <w:jc w:val="both"/>
              <w:rPr>
                <w:rFonts w:eastAsia="Times New Roman"/>
                <w:b/>
                <w:bCs/>
                <w:sz w:val="20"/>
                <w:szCs w:val="20"/>
              </w:rPr>
            </w:pPr>
          </w:p>
        </w:tc>
        <w:tc>
          <w:tcPr>
            <w:tcW w:w="372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hanging="50"/>
              <w:jc w:val="both"/>
              <w:rPr>
                <w:rFonts w:eastAsia="Times New Roman"/>
                <w:sz w:val="20"/>
                <w:szCs w:val="20"/>
              </w:rPr>
            </w:pPr>
            <w:r>
              <w:rPr>
                <w:rFonts w:eastAsia="Times New Roman"/>
                <w:b/>
                <w:bCs/>
                <w:sz w:val="20"/>
                <w:szCs w:val="20"/>
              </w:rPr>
              <w:t xml:space="preserve">META 2. </w:t>
            </w:r>
            <w:r>
              <w:rPr>
                <w:rFonts w:eastAsia="Times New Roman"/>
                <w:sz w:val="20"/>
                <w:szCs w:val="20"/>
              </w:rPr>
              <w:t>Manter e ampliar o Programa Institucional de Qualificação (PIQ/IFPA), por meio do lançamento anual de editais de bolsas de doutorado e bolsas de mestrado</w:t>
            </w:r>
          </w:p>
          <w:p w:rsidR="00762C45" w:rsidRDefault="00762C45">
            <w:pPr>
              <w:spacing w:before="60" w:after="60"/>
              <w:ind w:left="57" w:hanging="50"/>
              <w:jc w:val="both"/>
              <w:rPr>
                <w:color w:val="FF0000"/>
              </w:rPr>
            </w:pPr>
          </w:p>
        </w:tc>
        <w:tc>
          <w:tcPr>
            <w:tcW w:w="573"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3</w:t>
            </w:r>
          </w:p>
        </w:tc>
        <w:tc>
          <w:tcPr>
            <w:tcW w:w="613"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32</w:t>
            </w:r>
          </w:p>
        </w:tc>
        <w:tc>
          <w:tcPr>
            <w:tcW w:w="6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40</w:t>
            </w:r>
          </w:p>
        </w:tc>
        <w:tc>
          <w:tcPr>
            <w:tcW w:w="30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firstLine="20"/>
              <w:jc w:val="both"/>
            </w:pPr>
            <w:r>
              <w:rPr>
                <w:rFonts w:eastAsia="Times New Roman"/>
                <w:sz w:val="20"/>
                <w:szCs w:val="20"/>
              </w:rPr>
              <w:t>Número de bolsas vigentes do PIQ</w:t>
            </w:r>
          </w:p>
        </w:tc>
        <w:tc>
          <w:tcPr>
            <w:tcW w:w="3726"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 xml:space="preserve">Participar dos editais do PIQ/IFPA a fim concorrer a bolsas de mestrado e doutorado para os servidores do </w:t>
            </w:r>
            <w:r>
              <w:rPr>
                <w:rFonts w:eastAsia="Times New Roman"/>
                <w:i/>
                <w:sz w:val="20"/>
                <w:szCs w:val="20"/>
              </w:rPr>
              <w:t>campus</w:t>
            </w:r>
            <w:r>
              <w:rPr>
                <w:rFonts w:eastAsia="Times New Roman"/>
                <w:sz w:val="20"/>
                <w:szCs w:val="20"/>
              </w:rPr>
              <w:t xml:space="preserve"> que participam de programas de pós-graduação </w:t>
            </w:r>
            <w:r>
              <w:rPr>
                <w:rFonts w:eastAsia="Times New Roman"/>
                <w:i/>
                <w:sz w:val="20"/>
                <w:szCs w:val="20"/>
              </w:rPr>
              <w:t>stricto sensu</w:t>
            </w:r>
          </w:p>
        </w:tc>
      </w:tr>
      <w:tr w:rsidR="00762C45">
        <w:trPr>
          <w:trHeight w:val="278"/>
        </w:trPr>
        <w:tc>
          <w:tcPr>
            <w:tcW w:w="2523" w:type="dxa"/>
            <w:gridSpan w:val="2"/>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hanging="45"/>
              <w:jc w:val="both"/>
              <w:rPr>
                <w:rFonts w:eastAsia="Times New Roman"/>
                <w:b/>
                <w:bCs/>
                <w:sz w:val="20"/>
                <w:szCs w:val="20"/>
              </w:rPr>
            </w:pPr>
          </w:p>
        </w:tc>
        <w:tc>
          <w:tcPr>
            <w:tcW w:w="3724"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hanging="50"/>
              <w:jc w:val="both"/>
            </w:pPr>
            <w:r>
              <w:rPr>
                <w:rFonts w:eastAsia="Times New Roman"/>
                <w:b/>
                <w:bCs/>
                <w:sz w:val="20"/>
                <w:szCs w:val="20"/>
              </w:rPr>
              <w:t xml:space="preserve">META 4. </w:t>
            </w:r>
            <w:r>
              <w:rPr>
                <w:rFonts w:eastAsia="Times New Roman"/>
                <w:sz w:val="20"/>
                <w:szCs w:val="20"/>
              </w:rPr>
              <w:t xml:space="preserve">Aumentar a oferta de cursos de pós-graduação </w:t>
            </w:r>
            <w:r>
              <w:rPr>
                <w:rFonts w:eastAsia="Times New Roman"/>
                <w:i/>
                <w:iCs/>
                <w:sz w:val="20"/>
                <w:szCs w:val="20"/>
              </w:rPr>
              <w:t>lato sensu</w:t>
            </w:r>
          </w:p>
        </w:tc>
        <w:tc>
          <w:tcPr>
            <w:tcW w:w="57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0</w:t>
            </w:r>
          </w:p>
        </w:tc>
        <w:tc>
          <w:tcPr>
            <w:tcW w:w="613"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1</w:t>
            </w:r>
          </w:p>
        </w:tc>
        <w:tc>
          <w:tcPr>
            <w:tcW w:w="6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jc w:val="right"/>
              <w:rPr>
                <w:rFonts w:eastAsia="Times New Roman"/>
                <w:sz w:val="20"/>
                <w:szCs w:val="20"/>
              </w:rPr>
            </w:pPr>
            <w:r>
              <w:rPr>
                <w:rFonts w:eastAsia="Times New Roman"/>
                <w:sz w:val="20"/>
                <w:szCs w:val="20"/>
              </w:rPr>
              <w:t>1</w:t>
            </w:r>
          </w:p>
        </w:tc>
        <w:tc>
          <w:tcPr>
            <w:tcW w:w="3074"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 xml:space="preserve">Número de </w:t>
            </w:r>
            <w:r>
              <w:rPr>
                <w:rFonts w:eastAsia="Times New Roman"/>
                <w:i/>
                <w:sz w:val="20"/>
                <w:szCs w:val="20"/>
              </w:rPr>
              <w:t>campi</w:t>
            </w:r>
            <w:r>
              <w:rPr>
                <w:rFonts w:eastAsia="Times New Roman"/>
                <w:sz w:val="20"/>
                <w:szCs w:val="20"/>
              </w:rPr>
              <w:t xml:space="preserve"> com oferta de cursos lato sensu</w:t>
            </w:r>
          </w:p>
        </w:tc>
        <w:tc>
          <w:tcPr>
            <w:tcW w:w="3726"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firstLine="20"/>
              <w:jc w:val="both"/>
              <w:rPr>
                <w:rFonts w:eastAsia="Times New Roman"/>
                <w:sz w:val="20"/>
                <w:szCs w:val="20"/>
              </w:rPr>
            </w:pPr>
            <w:r>
              <w:rPr>
                <w:rFonts w:eastAsia="Times New Roman"/>
                <w:sz w:val="20"/>
                <w:szCs w:val="20"/>
              </w:rPr>
              <w:t xml:space="preserve">Ofertar cursos de pós-graduação lato sensu em áreas de competência do </w:t>
            </w:r>
            <w:r>
              <w:rPr>
                <w:rFonts w:eastAsia="Times New Roman"/>
                <w:i/>
                <w:sz w:val="20"/>
                <w:szCs w:val="20"/>
              </w:rPr>
              <w:t>campus</w:t>
            </w:r>
            <w:r>
              <w:rPr>
                <w:rFonts w:eastAsia="Times New Roman"/>
                <w:sz w:val="20"/>
                <w:szCs w:val="20"/>
              </w:rPr>
              <w:t xml:space="preserve"> de conformidade com as demandas locais</w:t>
            </w:r>
          </w:p>
        </w:tc>
      </w:tr>
    </w:tbl>
    <w:p w:rsidR="00762C45" w:rsidRDefault="00303B66">
      <w:pPr>
        <w:tabs>
          <w:tab w:val="left" w:pos="1596"/>
          <w:tab w:val="left" w:pos="4450"/>
          <w:tab w:val="left" w:pos="4961"/>
          <w:tab w:val="left" w:pos="5527"/>
          <w:tab w:val="left" w:pos="6515"/>
          <w:tab w:val="left" w:pos="9462"/>
          <w:tab w:val="left" w:pos="12686"/>
        </w:tabs>
        <w:ind w:left="-512" w:firstLine="20"/>
        <w:rPr>
          <w:rFonts w:eastAsia="Times New Roman"/>
          <w:b/>
          <w:bCs/>
          <w:sz w:val="20"/>
          <w:szCs w:val="20"/>
        </w:rPr>
      </w:pPr>
      <w:r>
        <w:rPr>
          <w:rFonts w:eastAsia="Times New Roman"/>
          <w:sz w:val="20"/>
          <w:szCs w:val="20"/>
        </w:rPr>
        <w:tab/>
      </w:r>
      <w:r>
        <w:rPr>
          <w:rFonts w:eastAsia="Times New Roman"/>
          <w:b/>
          <w:bCs/>
          <w:sz w:val="20"/>
          <w:szCs w:val="20"/>
        </w:rPr>
        <w:tab/>
      </w:r>
      <w:r>
        <w:rPr>
          <w:rFonts w:eastAsia="Times New Roman"/>
          <w:b/>
          <w:bCs/>
          <w:sz w:val="20"/>
          <w:szCs w:val="20"/>
        </w:rPr>
        <w:tab/>
      </w:r>
      <w:r>
        <w:rPr>
          <w:rFonts w:eastAsia="Times New Roman"/>
          <w:b/>
          <w:bCs/>
          <w:sz w:val="20"/>
          <w:szCs w:val="20"/>
        </w:rPr>
        <w:tab/>
      </w:r>
    </w:p>
    <w:p w:rsidR="00762C45" w:rsidRDefault="00762C45">
      <w:pPr>
        <w:tabs>
          <w:tab w:val="left" w:pos="1596"/>
          <w:tab w:val="left" w:pos="4450"/>
          <w:tab w:val="left" w:pos="4961"/>
          <w:tab w:val="left" w:pos="5527"/>
          <w:tab w:val="left" w:pos="6515"/>
          <w:tab w:val="left" w:pos="9462"/>
          <w:tab w:val="left" w:pos="12686"/>
        </w:tabs>
        <w:ind w:left="-512" w:firstLine="20"/>
        <w:rPr>
          <w:rFonts w:eastAsia="Times New Roman"/>
          <w:b/>
          <w:bCs/>
          <w:sz w:val="20"/>
          <w:szCs w:val="20"/>
        </w:rPr>
      </w:pPr>
    </w:p>
    <w:tbl>
      <w:tblPr>
        <w:tblW w:w="14625" w:type="dxa"/>
        <w:tblInd w:w="57" w:type="dxa"/>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0" w:type="dxa"/>
          <w:right w:w="70" w:type="dxa"/>
        </w:tblCellMar>
        <w:tblLook w:val="04A0" w:firstRow="1" w:lastRow="0" w:firstColumn="1" w:lastColumn="0" w:noHBand="0" w:noVBand="1"/>
      </w:tblPr>
      <w:tblGrid>
        <w:gridCol w:w="1895"/>
        <w:gridCol w:w="2814"/>
        <w:gridCol w:w="626"/>
        <w:gridCol w:w="674"/>
        <w:gridCol w:w="69"/>
        <w:gridCol w:w="502"/>
        <w:gridCol w:w="573"/>
        <w:gridCol w:w="2265"/>
        <w:gridCol w:w="125"/>
        <w:gridCol w:w="3546"/>
        <w:gridCol w:w="1536"/>
      </w:tblGrid>
      <w:tr w:rsidR="00762C45">
        <w:trPr>
          <w:trHeight w:val="300"/>
        </w:trPr>
        <w:tc>
          <w:tcPr>
            <w:tcW w:w="1895"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t>Objetivo</w:t>
            </w:r>
          </w:p>
        </w:tc>
        <w:tc>
          <w:tcPr>
            <w:tcW w:w="3438" w:type="dxa"/>
            <w:gridSpan w:val="2"/>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t>Metas</w:t>
            </w:r>
          </w:p>
        </w:tc>
        <w:tc>
          <w:tcPr>
            <w:tcW w:w="1818" w:type="dxa"/>
            <w:gridSpan w:val="4"/>
            <w:tcBorders>
              <w:top w:val="single" w:sz="4" w:space="0" w:color="00000A"/>
              <w:left w:val="single" w:sz="4" w:space="0" w:color="00000A"/>
              <w:bottom w:val="single" w:sz="4" w:space="0" w:color="00000A"/>
              <w:right w:val="single" w:sz="4" w:space="0" w:color="000001"/>
            </w:tcBorders>
            <w:shd w:val="clear" w:color="000000" w:fill="92D050"/>
            <w:tcMar>
              <w:left w:w="0" w:type="dxa"/>
            </w:tcMar>
            <w:vAlign w:val="center"/>
          </w:tcPr>
          <w:p w:rsidR="00762C45" w:rsidRDefault="00303B66">
            <w:pPr>
              <w:ind w:firstLine="20"/>
              <w:jc w:val="center"/>
              <w:rPr>
                <w:rFonts w:eastAsia="Times New Roman"/>
                <w:b/>
                <w:bCs/>
                <w:sz w:val="20"/>
                <w:szCs w:val="20"/>
              </w:rPr>
            </w:pPr>
            <w:r>
              <w:rPr>
                <w:rFonts w:eastAsia="Times New Roman"/>
                <w:b/>
                <w:bCs/>
                <w:sz w:val="20"/>
                <w:szCs w:val="20"/>
              </w:rPr>
              <w:t>Ano</w:t>
            </w:r>
          </w:p>
        </w:tc>
        <w:tc>
          <w:tcPr>
            <w:tcW w:w="2390" w:type="dxa"/>
            <w:gridSpan w:val="2"/>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762C45">
            <w:pPr>
              <w:ind w:firstLine="20"/>
              <w:jc w:val="center"/>
              <w:rPr>
                <w:rFonts w:eastAsia="Times New Roman"/>
                <w:b/>
                <w:bCs/>
                <w:sz w:val="20"/>
                <w:szCs w:val="20"/>
              </w:rPr>
            </w:pPr>
          </w:p>
          <w:p w:rsidR="00762C45" w:rsidRDefault="00303B66">
            <w:pPr>
              <w:ind w:firstLine="20"/>
              <w:jc w:val="center"/>
              <w:rPr>
                <w:rFonts w:eastAsia="Times New Roman"/>
                <w:b/>
                <w:bCs/>
                <w:sz w:val="20"/>
                <w:szCs w:val="20"/>
              </w:rPr>
            </w:pPr>
            <w:r>
              <w:rPr>
                <w:rFonts w:eastAsia="Times New Roman"/>
                <w:b/>
                <w:bCs/>
                <w:sz w:val="20"/>
                <w:szCs w:val="20"/>
              </w:rPr>
              <w:t>Indicadores</w:t>
            </w:r>
          </w:p>
          <w:p w:rsidR="00762C45" w:rsidRDefault="00762C45">
            <w:pPr>
              <w:ind w:firstLine="20"/>
              <w:jc w:val="center"/>
              <w:rPr>
                <w:rFonts w:eastAsia="Times New Roman"/>
                <w:b/>
                <w:bCs/>
                <w:sz w:val="20"/>
                <w:szCs w:val="20"/>
              </w:rPr>
            </w:pPr>
          </w:p>
        </w:tc>
        <w:tc>
          <w:tcPr>
            <w:tcW w:w="3548"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jc w:val="center"/>
              <w:rPr>
                <w:rFonts w:eastAsia="Times New Roman"/>
                <w:b/>
                <w:bCs/>
                <w:sz w:val="20"/>
                <w:szCs w:val="20"/>
              </w:rPr>
            </w:pPr>
            <w:r>
              <w:rPr>
                <w:rFonts w:eastAsia="Times New Roman"/>
                <w:b/>
                <w:bCs/>
                <w:sz w:val="20"/>
                <w:szCs w:val="20"/>
              </w:rPr>
              <w:t>Estratégias</w:t>
            </w:r>
          </w:p>
        </w:tc>
        <w:tc>
          <w:tcPr>
            <w:tcW w:w="1534" w:type="dxa"/>
            <w:vMerge w:val="restart"/>
            <w:tcBorders>
              <w:top w:val="single" w:sz="4" w:space="0" w:color="00000A"/>
              <w:left w:val="single" w:sz="4" w:space="0" w:color="00000A"/>
              <w:bottom w:val="single" w:sz="4" w:space="0" w:color="000001"/>
              <w:right w:val="single" w:sz="4" w:space="0" w:color="00000A"/>
            </w:tcBorders>
            <w:shd w:val="clear" w:color="000000" w:fill="92D050"/>
            <w:vAlign w:val="center"/>
          </w:tcPr>
          <w:p w:rsidR="00762C45" w:rsidRDefault="00303B66">
            <w:pPr>
              <w:jc w:val="center"/>
              <w:rPr>
                <w:rFonts w:eastAsia="Times New Roman"/>
                <w:b/>
                <w:bCs/>
                <w:sz w:val="20"/>
                <w:szCs w:val="20"/>
              </w:rPr>
            </w:pPr>
            <w:r>
              <w:rPr>
                <w:rFonts w:eastAsia="Times New Roman"/>
                <w:b/>
                <w:bCs/>
                <w:sz w:val="20"/>
                <w:szCs w:val="20"/>
              </w:rPr>
              <w:t>Responsável</w:t>
            </w:r>
          </w:p>
        </w:tc>
      </w:tr>
      <w:tr w:rsidR="00762C45">
        <w:trPr>
          <w:trHeight w:val="274"/>
        </w:trPr>
        <w:tc>
          <w:tcPr>
            <w:tcW w:w="1895" w:type="dxa"/>
            <w:vMerge/>
            <w:tcBorders>
              <w:top w:val="single" w:sz="4" w:space="0" w:color="00000A"/>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rPr>
                <w:rFonts w:eastAsia="Times New Roman"/>
                <w:b/>
                <w:bCs/>
                <w:sz w:val="20"/>
                <w:szCs w:val="20"/>
              </w:rPr>
            </w:pPr>
          </w:p>
        </w:tc>
        <w:tc>
          <w:tcPr>
            <w:tcW w:w="3438"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0" w:type="dxa"/>
            </w:tcMar>
          </w:tcPr>
          <w:p w:rsidR="00762C45" w:rsidRDefault="00762C45">
            <w:pPr>
              <w:jc w:val="both"/>
              <w:rPr>
                <w:rFonts w:eastAsia="Times New Roman"/>
                <w:b/>
                <w:bCs/>
                <w:sz w:val="20"/>
                <w:szCs w:val="20"/>
              </w:rPr>
            </w:pPr>
          </w:p>
        </w:tc>
        <w:tc>
          <w:tcPr>
            <w:tcW w:w="674"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20"/>
                <w:szCs w:val="20"/>
              </w:rPr>
            </w:pPr>
            <w:r>
              <w:rPr>
                <w:rFonts w:eastAsia="Times New Roman"/>
                <w:b/>
                <w:bCs/>
                <w:sz w:val="20"/>
                <w:szCs w:val="20"/>
              </w:rPr>
              <w:t>2016</w:t>
            </w:r>
          </w:p>
        </w:tc>
        <w:tc>
          <w:tcPr>
            <w:tcW w:w="571" w:type="dxa"/>
            <w:gridSpan w:val="2"/>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right="-70"/>
              <w:jc w:val="center"/>
              <w:rPr>
                <w:rFonts w:eastAsia="Times New Roman"/>
                <w:b/>
                <w:bCs/>
                <w:sz w:val="20"/>
                <w:szCs w:val="20"/>
              </w:rPr>
            </w:pPr>
            <w:r>
              <w:rPr>
                <w:rFonts w:eastAsia="Times New Roman"/>
                <w:b/>
                <w:bCs/>
                <w:sz w:val="20"/>
                <w:szCs w:val="20"/>
              </w:rPr>
              <w:t>2017</w:t>
            </w:r>
          </w:p>
        </w:tc>
        <w:tc>
          <w:tcPr>
            <w:tcW w:w="570"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20"/>
                <w:szCs w:val="20"/>
              </w:rPr>
            </w:pPr>
            <w:r>
              <w:rPr>
                <w:rFonts w:eastAsia="Times New Roman"/>
                <w:b/>
                <w:bCs/>
                <w:sz w:val="20"/>
                <w:szCs w:val="20"/>
              </w:rPr>
              <w:t>2018</w:t>
            </w:r>
          </w:p>
        </w:tc>
        <w:tc>
          <w:tcPr>
            <w:tcW w:w="2391" w:type="dxa"/>
            <w:gridSpan w:val="2"/>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762C45">
            <w:pPr>
              <w:jc w:val="both"/>
              <w:rPr>
                <w:rFonts w:eastAsia="Times New Roman"/>
                <w:b/>
                <w:bCs/>
                <w:sz w:val="20"/>
                <w:szCs w:val="20"/>
              </w:rPr>
            </w:pPr>
          </w:p>
        </w:tc>
        <w:tc>
          <w:tcPr>
            <w:tcW w:w="3548" w:type="dxa"/>
            <w:vMerge/>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762C45">
            <w:pPr>
              <w:jc w:val="center"/>
              <w:rPr>
                <w:rFonts w:eastAsia="Times New Roman"/>
                <w:b/>
                <w:bCs/>
                <w:sz w:val="20"/>
                <w:szCs w:val="20"/>
              </w:rPr>
            </w:pPr>
          </w:p>
        </w:tc>
        <w:tc>
          <w:tcPr>
            <w:tcW w:w="1536" w:type="dxa"/>
            <w:vMerge/>
            <w:tcBorders>
              <w:top w:val="single" w:sz="4" w:space="0" w:color="00000A"/>
              <w:left w:val="single" w:sz="4" w:space="0" w:color="00000A"/>
              <w:bottom w:val="single" w:sz="4" w:space="0" w:color="000001"/>
              <w:right w:val="single" w:sz="4" w:space="0" w:color="00000A"/>
            </w:tcBorders>
            <w:shd w:val="clear" w:color="000000" w:fill="92D050"/>
            <w:vAlign w:val="center"/>
          </w:tcPr>
          <w:p w:rsidR="00762C45" w:rsidRDefault="00762C45">
            <w:pPr>
              <w:jc w:val="center"/>
              <w:rPr>
                <w:rFonts w:eastAsia="Times New Roman"/>
                <w:b/>
                <w:bCs/>
                <w:sz w:val="20"/>
                <w:szCs w:val="20"/>
              </w:rPr>
            </w:pPr>
          </w:p>
        </w:tc>
      </w:tr>
      <w:tr w:rsidR="00762C45" w:rsidTr="00303B66">
        <w:trPr>
          <w:trHeight w:val="892"/>
        </w:trPr>
        <w:tc>
          <w:tcPr>
            <w:tcW w:w="1895"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hanging="45"/>
              <w:jc w:val="both"/>
            </w:pPr>
            <w:r>
              <w:rPr>
                <w:rFonts w:eastAsia="Times New Roman"/>
                <w:b/>
                <w:bCs/>
                <w:sz w:val="20"/>
                <w:szCs w:val="20"/>
              </w:rPr>
              <w:t xml:space="preserve">Objetivo 10. </w:t>
            </w:r>
            <w:r>
              <w:rPr>
                <w:rFonts w:eastAsia="Times New Roman"/>
                <w:sz w:val="20"/>
                <w:szCs w:val="20"/>
              </w:rPr>
              <w:t xml:space="preserve"> Implementar um ambiente acadêmico no IFPA para estimular a inovação tecnológica, sua proteção e transferência para a sociedade</w:t>
            </w:r>
          </w:p>
        </w:tc>
        <w:tc>
          <w:tcPr>
            <w:tcW w:w="3438"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rFonts w:eastAsia="Times New Roman"/>
                <w:sz w:val="20"/>
                <w:szCs w:val="20"/>
              </w:rPr>
            </w:pPr>
            <w:r>
              <w:rPr>
                <w:rFonts w:eastAsia="Times New Roman"/>
                <w:b/>
                <w:bCs/>
                <w:sz w:val="20"/>
                <w:szCs w:val="20"/>
              </w:rPr>
              <w:t xml:space="preserve">META 1. </w:t>
            </w:r>
            <w:r>
              <w:rPr>
                <w:rFonts w:eastAsia="Times New Roman"/>
                <w:sz w:val="20"/>
                <w:szCs w:val="20"/>
              </w:rPr>
              <w:t>Consolidar as atividades do Núcleo de Inovação Tecnológica do IFPA. Iniciar processos de patentes e registro das marcas do NIT/PROPPG</w:t>
            </w:r>
          </w:p>
        </w:tc>
        <w:tc>
          <w:tcPr>
            <w:tcW w:w="6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1</w:t>
            </w:r>
          </w:p>
        </w:tc>
        <w:tc>
          <w:tcPr>
            <w:tcW w:w="57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2</w:t>
            </w:r>
          </w:p>
        </w:tc>
        <w:tc>
          <w:tcPr>
            <w:tcW w:w="57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3</w:t>
            </w:r>
          </w:p>
        </w:tc>
        <w:tc>
          <w:tcPr>
            <w:tcW w:w="239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Número de patentes registradas</w:t>
            </w:r>
          </w:p>
        </w:tc>
        <w:tc>
          <w:tcPr>
            <w:tcW w:w="354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Contribuir para a geração de patentes a serem registradas pelo NIT/PROPPG</w:t>
            </w:r>
          </w:p>
        </w:tc>
        <w:tc>
          <w:tcPr>
            <w:tcW w:w="153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Coordenação de Pesquisa e Extensão</w:t>
            </w:r>
          </w:p>
        </w:tc>
      </w:tr>
      <w:tr w:rsidR="00762C45">
        <w:trPr>
          <w:trHeight w:val="1372"/>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ind w:left="57" w:right="57" w:hanging="45"/>
              <w:jc w:val="both"/>
              <w:rPr>
                <w:rFonts w:eastAsia="Times New Roman"/>
                <w:b/>
                <w:bCs/>
                <w:sz w:val="20"/>
                <w:szCs w:val="20"/>
              </w:rPr>
            </w:pPr>
          </w:p>
        </w:tc>
        <w:tc>
          <w:tcPr>
            <w:tcW w:w="3438"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rFonts w:eastAsia="Times New Roman"/>
                <w:sz w:val="20"/>
                <w:szCs w:val="20"/>
              </w:rPr>
            </w:pPr>
            <w:r>
              <w:rPr>
                <w:rFonts w:eastAsia="Times New Roman"/>
                <w:b/>
                <w:bCs/>
                <w:sz w:val="20"/>
                <w:szCs w:val="20"/>
              </w:rPr>
              <w:t xml:space="preserve">META 2. </w:t>
            </w:r>
            <w:r>
              <w:rPr>
                <w:rFonts w:eastAsia="Times New Roman"/>
                <w:sz w:val="20"/>
                <w:szCs w:val="20"/>
              </w:rPr>
              <w:t>Articular em rede com outros NITs de instituições de ensino superior pública. Manter e ampliar a parceria com a Rede NAMOR</w:t>
            </w:r>
          </w:p>
        </w:tc>
        <w:tc>
          <w:tcPr>
            <w:tcW w:w="6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1</w:t>
            </w:r>
          </w:p>
        </w:tc>
        <w:tc>
          <w:tcPr>
            <w:tcW w:w="57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4</w:t>
            </w:r>
          </w:p>
        </w:tc>
        <w:tc>
          <w:tcPr>
            <w:tcW w:w="57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4</w:t>
            </w:r>
          </w:p>
        </w:tc>
        <w:tc>
          <w:tcPr>
            <w:tcW w:w="239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Número de ações em conjunto com a Rede NAMOR (</w:t>
            </w:r>
            <w:r>
              <w:rPr>
                <w:sz w:val="20"/>
                <w:szCs w:val="20"/>
              </w:rPr>
              <w:t>Núcleos de Inovação Tecnológica da Amazônia Oriental)</w:t>
            </w:r>
          </w:p>
        </w:tc>
        <w:tc>
          <w:tcPr>
            <w:tcW w:w="354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 xml:space="preserve">Participar das articulações do NIT/IFPA para ampliar a parceria com a Rede NAMOR com vistas a </w:t>
            </w:r>
            <w:r>
              <w:rPr>
                <w:sz w:val="20"/>
                <w:szCs w:val="20"/>
              </w:rPr>
              <w:t>difundir conhecimentos sobre boas práticas de gestão da inovação e métodos de proteção do conhecimento, propriedade intelectual e transferência de tecnologia.</w:t>
            </w:r>
          </w:p>
        </w:tc>
        <w:tc>
          <w:tcPr>
            <w:tcW w:w="153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Coordenação de Pesquisa e Extensão</w:t>
            </w:r>
          </w:p>
        </w:tc>
      </w:tr>
      <w:tr w:rsidR="00762C45">
        <w:trPr>
          <w:trHeight w:val="765"/>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ind w:left="57" w:right="57" w:hanging="45"/>
              <w:jc w:val="both"/>
              <w:rPr>
                <w:rFonts w:eastAsia="Times New Roman"/>
                <w:b/>
                <w:bCs/>
                <w:sz w:val="20"/>
                <w:szCs w:val="20"/>
              </w:rPr>
            </w:pPr>
          </w:p>
        </w:tc>
        <w:tc>
          <w:tcPr>
            <w:tcW w:w="3438"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20"/>
                <w:szCs w:val="20"/>
              </w:rPr>
              <w:t xml:space="preserve">META 3. </w:t>
            </w:r>
            <w:r>
              <w:rPr>
                <w:rFonts w:eastAsia="Times New Roman"/>
                <w:sz w:val="20"/>
                <w:szCs w:val="20"/>
              </w:rPr>
              <w:t>Promover aos servidores do IFPA capacitações que visem à aplicação da Lei Federal de Inovação. Realizar anualmente visita nos Campi para a realização de palestras e reuniões sobre inovação tecnológica</w:t>
            </w:r>
          </w:p>
        </w:tc>
        <w:tc>
          <w:tcPr>
            <w:tcW w:w="6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0</w:t>
            </w:r>
          </w:p>
        </w:tc>
        <w:tc>
          <w:tcPr>
            <w:tcW w:w="57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2</w:t>
            </w:r>
          </w:p>
        </w:tc>
        <w:tc>
          <w:tcPr>
            <w:tcW w:w="57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2</w:t>
            </w:r>
          </w:p>
        </w:tc>
        <w:tc>
          <w:tcPr>
            <w:tcW w:w="239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Número visitas realizadas aos Campi para capacitação dos servidores</w:t>
            </w:r>
          </w:p>
        </w:tc>
        <w:tc>
          <w:tcPr>
            <w:tcW w:w="354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 xml:space="preserve">Receber a visita do NIT/IFPA nas instalações do </w:t>
            </w:r>
            <w:r>
              <w:rPr>
                <w:rFonts w:eastAsia="Times New Roman"/>
                <w:i/>
                <w:sz w:val="20"/>
                <w:szCs w:val="20"/>
              </w:rPr>
              <w:t>campus</w:t>
            </w:r>
            <w:r>
              <w:rPr>
                <w:rFonts w:eastAsia="Times New Roman"/>
                <w:sz w:val="20"/>
                <w:szCs w:val="20"/>
              </w:rPr>
              <w:t xml:space="preserve"> a fim de capacitar os seus servidores nas questões relacionadas com a Inovação Tecnológica</w:t>
            </w:r>
          </w:p>
        </w:tc>
        <w:tc>
          <w:tcPr>
            <w:tcW w:w="153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Coordenação de Pesquisa e Extensão</w:t>
            </w:r>
          </w:p>
        </w:tc>
      </w:tr>
      <w:tr w:rsidR="00762C45">
        <w:trPr>
          <w:trHeight w:val="765"/>
        </w:trPr>
        <w:tc>
          <w:tcPr>
            <w:tcW w:w="1895" w:type="dxa"/>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hanging="45"/>
              <w:jc w:val="both"/>
              <w:rPr>
                <w:rFonts w:eastAsia="Times New Roman"/>
                <w:sz w:val="20"/>
                <w:szCs w:val="20"/>
              </w:rPr>
            </w:pPr>
            <w:r>
              <w:rPr>
                <w:rFonts w:eastAsia="Times New Roman"/>
                <w:b/>
                <w:bCs/>
                <w:sz w:val="20"/>
                <w:szCs w:val="20"/>
              </w:rPr>
              <w:t xml:space="preserve">Objetivo 11. </w:t>
            </w:r>
            <w:r>
              <w:rPr>
                <w:rFonts w:eastAsia="Times New Roman"/>
                <w:sz w:val="20"/>
                <w:szCs w:val="20"/>
              </w:rPr>
              <w:t>Fortalecer as políticas de acesso, permanência e inclusão social no IFPA</w:t>
            </w:r>
          </w:p>
        </w:tc>
        <w:tc>
          <w:tcPr>
            <w:tcW w:w="3438"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rFonts w:eastAsia="Times New Roman"/>
                <w:b/>
                <w:bCs/>
                <w:sz w:val="20"/>
                <w:szCs w:val="20"/>
              </w:rPr>
            </w:pPr>
            <w:r>
              <w:rPr>
                <w:rFonts w:eastAsia="Times New Roman"/>
                <w:b/>
                <w:bCs/>
                <w:sz w:val="20"/>
                <w:szCs w:val="20"/>
              </w:rPr>
              <w:t xml:space="preserve">META 1. </w:t>
            </w:r>
            <w:r>
              <w:rPr>
                <w:rFonts w:eastAsia="Times New Roman"/>
                <w:sz w:val="20"/>
                <w:szCs w:val="20"/>
              </w:rPr>
              <w:t>Atender os alunos com especificidades e/ou desigualdades educacionais através da política de permanência e inclusão social no IFPA</w:t>
            </w:r>
          </w:p>
        </w:tc>
        <w:tc>
          <w:tcPr>
            <w:tcW w:w="6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10%</w:t>
            </w:r>
          </w:p>
        </w:tc>
        <w:tc>
          <w:tcPr>
            <w:tcW w:w="57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70%</w:t>
            </w:r>
          </w:p>
        </w:tc>
        <w:tc>
          <w:tcPr>
            <w:tcW w:w="57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20"/>
                <w:szCs w:val="20"/>
              </w:rPr>
            </w:pPr>
            <w:r>
              <w:rPr>
                <w:rFonts w:eastAsia="Times New Roman"/>
                <w:sz w:val="20"/>
                <w:szCs w:val="20"/>
              </w:rPr>
              <w:t>80%</w:t>
            </w:r>
          </w:p>
        </w:tc>
        <w:tc>
          <w:tcPr>
            <w:tcW w:w="239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Percentual de alunos atendidos pelos programas de permanência do IFPA</w:t>
            </w:r>
          </w:p>
        </w:tc>
        <w:tc>
          <w:tcPr>
            <w:tcW w:w="3548"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20"/>
                <w:szCs w:val="20"/>
              </w:rPr>
              <w:t xml:space="preserve">Aumentar o percentual de atendimento dos alunos do </w:t>
            </w:r>
            <w:r>
              <w:rPr>
                <w:rFonts w:eastAsia="Times New Roman"/>
                <w:i/>
                <w:sz w:val="20"/>
                <w:szCs w:val="20"/>
              </w:rPr>
              <w:t>campus</w:t>
            </w:r>
            <w:r>
              <w:rPr>
                <w:rFonts w:eastAsia="Times New Roman"/>
                <w:sz w:val="20"/>
                <w:szCs w:val="20"/>
              </w:rPr>
              <w:t xml:space="preserve"> que apresentam desigualdades sociais e econômicas capazes de afetar a sua permanência na instituição e o seu desempenho nos cursos.</w:t>
            </w:r>
          </w:p>
        </w:tc>
        <w:tc>
          <w:tcPr>
            <w:tcW w:w="153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20"/>
                <w:szCs w:val="20"/>
              </w:rPr>
            </w:pPr>
            <w:r>
              <w:rPr>
                <w:rFonts w:eastAsia="Times New Roman"/>
                <w:sz w:val="20"/>
                <w:szCs w:val="20"/>
              </w:rPr>
              <w:t>Coordenação de Assistência Estudantil</w:t>
            </w:r>
          </w:p>
        </w:tc>
      </w:tr>
      <w:tr w:rsidR="00762C45">
        <w:trPr>
          <w:trHeight w:val="697"/>
        </w:trPr>
        <w:tc>
          <w:tcPr>
            <w:tcW w:w="1895"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jc w:val="both"/>
            </w:pPr>
            <w:r>
              <w:rPr>
                <w:rFonts w:eastAsia="Times New Roman"/>
                <w:b/>
                <w:bCs/>
                <w:sz w:val="18"/>
                <w:szCs w:val="18"/>
              </w:rPr>
              <w:t xml:space="preserve">Objetivo 11. </w:t>
            </w:r>
            <w:r>
              <w:rPr>
                <w:rFonts w:eastAsia="Times New Roman"/>
                <w:sz w:val="18"/>
                <w:szCs w:val="18"/>
              </w:rPr>
              <w:t>Fortalecer as políticas de acesso, permanência e inclusão social no IFPA</w:t>
            </w:r>
          </w:p>
        </w:tc>
        <w:tc>
          <w:tcPr>
            <w:tcW w:w="3438"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18"/>
                <w:szCs w:val="18"/>
              </w:rPr>
              <w:t xml:space="preserve">META 2. </w:t>
            </w:r>
            <w:r>
              <w:rPr>
                <w:rFonts w:eastAsia="Times New Roman"/>
                <w:sz w:val="18"/>
                <w:szCs w:val="18"/>
              </w:rPr>
              <w:t>Destinar um quantitativo de vagas nos cursos técnicos ofertados ao PROEJA</w:t>
            </w:r>
          </w:p>
        </w:tc>
        <w:tc>
          <w:tcPr>
            <w:tcW w:w="6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_</w:t>
            </w:r>
          </w:p>
        </w:tc>
        <w:tc>
          <w:tcPr>
            <w:tcW w:w="57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10%</w:t>
            </w:r>
          </w:p>
        </w:tc>
        <w:tc>
          <w:tcPr>
            <w:tcW w:w="57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10%</w:t>
            </w:r>
          </w:p>
        </w:tc>
        <w:tc>
          <w:tcPr>
            <w:tcW w:w="239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sz w:val="20"/>
                <w:szCs w:val="20"/>
              </w:rPr>
            </w:pPr>
            <w:r>
              <w:rPr>
                <w:rFonts w:eastAsia="Times New Roman"/>
                <w:sz w:val="18"/>
                <w:szCs w:val="18"/>
              </w:rPr>
              <w:t>Percentual de vagas ofertadas para o PROEJA</w:t>
            </w:r>
          </w:p>
        </w:tc>
        <w:tc>
          <w:tcPr>
            <w:tcW w:w="508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sz w:val="20"/>
                <w:szCs w:val="20"/>
              </w:rPr>
            </w:pPr>
            <w:r>
              <w:rPr>
                <w:rFonts w:eastAsia="Times New Roman"/>
                <w:sz w:val="18"/>
                <w:szCs w:val="18"/>
              </w:rPr>
              <w:t>Ofertar cursos do PROEJA e destinar vagas a pessoas carentes</w:t>
            </w:r>
          </w:p>
        </w:tc>
      </w:tr>
      <w:tr w:rsidR="00762C45">
        <w:trPr>
          <w:trHeight w:val="631"/>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left="57" w:right="57" w:hanging="45"/>
              <w:jc w:val="both"/>
            </w:pPr>
          </w:p>
        </w:tc>
        <w:tc>
          <w:tcPr>
            <w:tcW w:w="3438"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18"/>
                <w:szCs w:val="18"/>
              </w:rPr>
              <w:t xml:space="preserve">META 3. </w:t>
            </w:r>
            <w:r>
              <w:rPr>
                <w:rFonts w:eastAsia="Times New Roman"/>
                <w:sz w:val="18"/>
                <w:szCs w:val="18"/>
              </w:rPr>
              <w:t>Destinar um quantitativo de vagas ofertadas para os cursos de Licenciatura.</w:t>
            </w:r>
          </w:p>
        </w:tc>
        <w:tc>
          <w:tcPr>
            <w:tcW w:w="6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80%</w:t>
            </w:r>
          </w:p>
        </w:tc>
        <w:tc>
          <w:tcPr>
            <w:tcW w:w="57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15%</w:t>
            </w:r>
          </w:p>
        </w:tc>
        <w:tc>
          <w:tcPr>
            <w:tcW w:w="57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20%</w:t>
            </w:r>
          </w:p>
        </w:tc>
        <w:tc>
          <w:tcPr>
            <w:tcW w:w="239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18"/>
                <w:szCs w:val="18"/>
              </w:rPr>
              <w:t>Percentual de vagas ofertadas para Licenciaturas</w:t>
            </w:r>
          </w:p>
        </w:tc>
        <w:tc>
          <w:tcPr>
            <w:tcW w:w="508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pPr>
            <w:r>
              <w:rPr>
                <w:rFonts w:eastAsia="Times New Roman"/>
                <w:sz w:val="18"/>
                <w:szCs w:val="18"/>
              </w:rPr>
              <w:t>Ofertar cursos de Licenciatura e destinar um percentual de vagas para pessoas carentes</w:t>
            </w:r>
          </w:p>
        </w:tc>
      </w:tr>
      <w:tr w:rsidR="00762C45">
        <w:trPr>
          <w:trHeight w:val="563"/>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left="57" w:right="57" w:hanging="45"/>
              <w:jc w:val="both"/>
            </w:pPr>
          </w:p>
        </w:tc>
        <w:tc>
          <w:tcPr>
            <w:tcW w:w="3438"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pPr>
            <w:r>
              <w:rPr>
                <w:rFonts w:eastAsia="Times New Roman"/>
                <w:b/>
                <w:bCs/>
                <w:sz w:val="18"/>
                <w:szCs w:val="18"/>
              </w:rPr>
              <w:t xml:space="preserve">META 4. </w:t>
            </w:r>
            <w:r>
              <w:rPr>
                <w:rFonts w:eastAsia="Times New Roman"/>
                <w:sz w:val="18"/>
                <w:szCs w:val="18"/>
              </w:rPr>
              <w:t>Criar o NAPNE e NEAB nos c</w:t>
            </w:r>
            <w:r>
              <w:rPr>
                <w:rFonts w:eastAsia="Times New Roman"/>
                <w:i/>
                <w:sz w:val="18"/>
                <w:szCs w:val="18"/>
              </w:rPr>
              <w:t>ampi</w:t>
            </w:r>
            <w:r>
              <w:rPr>
                <w:rFonts w:eastAsia="Times New Roman"/>
                <w:sz w:val="18"/>
                <w:szCs w:val="18"/>
              </w:rPr>
              <w:t xml:space="preserve"> do IFPA.</w:t>
            </w:r>
          </w:p>
        </w:tc>
        <w:tc>
          <w:tcPr>
            <w:tcW w:w="674"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0</w:t>
            </w:r>
          </w:p>
        </w:tc>
        <w:tc>
          <w:tcPr>
            <w:tcW w:w="57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1</w:t>
            </w:r>
          </w:p>
        </w:tc>
        <w:tc>
          <w:tcPr>
            <w:tcW w:w="570"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sz w:val="20"/>
                <w:szCs w:val="20"/>
              </w:rPr>
            </w:pPr>
            <w:r>
              <w:rPr>
                <w:sz w:val="20"/>
                <w:szCs w:val="20"/>
              </w:rPr>
              <w:t>0</w:t>
            </w:r>
          </w:p>
        </w:tc>
        <w:tc>
          <w:tcPr>
            <w:tcW w:w="2391"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sz w:val="20"/>
                <w:szCs w:val="20"/>
              </w:rPr>
            </w:pPr>
            <w:r>
              <w:rPr>
                <w:rFonts w:eastAsia="Times New Roman"/>
                <w:sz w:val="18"/>
                <w:szCs w:val="18"/>
              </w:rPr>
              <w:t xml:space="preserve">Percentual de </w:t>
            </w:r>
            <w:r>
              <w:rPr>
                <w:rFonts w:eastAsia="Times New Roman"/>
                <w:i/>
                <w:sz w:val="18"/>
                <w:szCs w:val="18"/>
              </w:rPr>
              <w:t>campi</w:t>
            </w:r>
            <w:r>
              <w:rPr>
                <w:rFonts w:eastAsia="Times New Roman"/>
                <w:sz w:val="18"/>
                <w:szCs w:val="18"/>
              </w:rPr>
              <w:t xml:space="preserve"> com núcleos criados</w:t>
            </w:r>
          </w:p>
        </w:tc>
        <w:tc>
          <w:tcPr>
            <w:tcW w:w="5084"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sz w:val="20"/>
                <w:szCs w:val="20"/>
              </w:rPr>
            </w:pPr>
            <w:r>
              <w:rPr>
                <w:rFonts w:eastAsia="Times New Roman"/>
                <w:sz w:val="18"/>
                <w:szCs w:val="18"/>
              </w:rPr>
              <w:t xml:space="preserve">Criar o NAPNE e NEAB no </w:t>
            </w:r>
            <w:r>
              <w:rPr>
                <w:rFonts w:eastAsia="Times New Roman"/>
                <w:i/>
                <w:sz w:val="18"/>
                <w:szCs w:val="18"/>
              </w:rPr>
              <w:t>campus</w:t>
            </w:r>
          </w:p>
        </w:tc>
      </w:tr>
      <w:tr w:rsidR="00762C45">
        <w:trPr>
          <w:trHeight w:val="300"/>
        </w:trPr>
        <w:tc>
          <w:tcPr>
            <w:tcW w:w="1895"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rPr>
                <w:rFonts w:eastAsia="Times New Roman"/>
                <w:b/>
                <w:bCs/>
                <w:sz w:val="18"/>
                <w:szCs w:val="18"/>
              </w:rPr>
            </w:pPr>
            <w:r>
              <w:rPr>
                <w:rFonts w:eastAsia="Times New Roman"/>
                <w:b/>
                <w:bCs/>
                <w:sz w:val="18"/>
                <w:szCs w:val="18"/>
              </w:rPr>
              <w:lastRenderedPageBreak/>
              <w:t>Objetivo</w:t>
            </w:r>
          </w:p>
        </w:tc>
        <w:tc>
          <w:tcPr>
            <w:tcW w:w="2815"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firstLine="20"/>
              <w:jc w:val="center"/>
              <w:rPr>
                <w:rFonts w:eastAsia="Times New Roman"/>
                <w:b/>
                <w:bCs/>
                <w:sz w:val="18"/>
                <w:szCs w:val="18"/>
              </w:rPr>
            </w:pPr>
            <w:r>
              <w:rPr>
                <w:rFonts w:eastAsia="Times New Roman"/>
                <w:b/>
                <w:bCs/>
                <w:sz w:val="18"/>
                <w:szCs w:val="18"/>
              </w:rPr>
              <w:t>Metas</w:t>
            </w:r>
          </w:p>
        </w:tc>
        <w:tc>
          <w:tcPr>
            <w:tcW w:w="2441" w:type="dxa"/>
            <w:gridSpan w:val="5"/>
            <w:tcBorders>
              <w:top w:val="single" w:sz="4" w:space="0" w:color="00000A"/>
              <w:left w:val="single" w:sz="4" w:space="0" w:color="00000A"/>
              <w:bottom w:val="single" w:sz="4" w:space="0" w:color="00000A"/>
              <w:right w:val="single" w:sz="4" w:space="0" w:color="000001"/>
            </w:tcBorders>
            <w:shd w:val="clear" w:color="000000" w:fill="92D050"/>
            <w:tcMar>
              <w:left w:w="0" w:type="dxa"/>
            </w:tcMar>
            <w:vAlign w:val="center"/>
          </w:tcPr>
          <w:p w:rsidR="00762C45" w:rsidRDefault="00303B66">
            <w:pPr>
              <w:ind w:firstLine="20"/>
              <w:jc w:val="center"/>
              <w:rPr>
                <w:rFonts w:eastAsia="Times New Roman"/>
                <w:b/>
                <w:bCs/>
                <w:sz w:val="18"/>
                <w:szCs w:val="18"/>
              </w:rPr>
            </w:pPr>
            <w:r>
              <w:rPr>
                <w:rFonts w:eastAsia="Times New Roman"/>
                <w:b/>
                <w:bCs/>
                <w:sz w:val="18"/>
                <w:szCs w:val="18"/>
              </w:rPr>
              <w:t>Ano</w:t>
            </w:r>
          </w:p>
        </w:tc>
        <w:tc>
          <w:tcPr>
            <w:tcW w:w="2266" w:type="dxa"/>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762C45">
            <w:pPr>
              <w:ind w:firstLine="20"/>
              <w:jc w:val="center"/>
              <w:rPr>
                <w:rFonts w:eastAsia="Times New Roman"/>
                <w:b/>
                <w:bCs/>
                <w:sz w:val="18"/>
                <w:szCs w:val="18"/>
              </w:rPr>
            </w:pPr>
          </w:p>
          <w:p w:rsidR="00762C45" w:rsidRDefault="00303B66">
            <w:pPr>
              <w:ind w:firstLine="20"/>
              <w:jc w:val="center"/>
              <w:rPr>
                <w:rFonts w:eastAsia="Times New Roman"/>
                <w:b/>
                <w:bCs/>
                <w:sz w:val="18"/>
                <w:szCs w:val="18"/>
              </w:rPr>
            </w:pPr>
            <w:r>
              <w:rPr>
                <w:rFonts w:eastAsia="Times New Roman"/>
                <w:b/>
                <w:bCs/>
                <w:sz w:val="18"/>
                <w:szCs w:val="18"/>
              </w:rPr>
              <w:t>Indicadores</w:t>
            </w:r>
          </w:p>
          <w:p w:rsidR="00762C45" w:rsidRDefault="00762C45">
            <w:pPr>
              <w:ind w:firstLine="20"/>
              <w:jc w:val="center"/>
              <w:rPr>
                <w:rFonts w:eastAsia="Times New Roman"/>
                <w:b/>
                <w:bCs/>
                <w:sz w:val="18"/>
                <w:szCs w:val="18"/>
              </w:rPr>
            </w:pPr>
          </w:p>
        </w:tc>
        <w:tc>
          <w:tcPr>
            <w:tcW w:w="5206" w:type="dxa"/>
            <w:gridSpan w:val="3"/>
            <w:vMerge w:val="restart"/>
            <w:tcBorders>
              <w:top w:val="single" w:sz="4" w:space="0" w:color="00000A"/>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jc w:val="center"/>
              <w:rPr>
                <w:rFonts w:eastAsia="Times New Roman"/>
                <w:b/>
                <w:bCs/>
                <w:sz w:val="18"/>
                <w:szCs w:val="18"/>
              </w:rPr>
            </w:pPr>
            <w:r>
              <w:rPr>
                <w:rFonts w:eastAsia="Times New Roman"/>
                <w:b/>
                <w:bCs/>
                <w:sz w:val="18"/>
                <w:szCs w:val="18"/>
              </w:rPr>
              <w:t>Estratégias</w:t>
            </w:r>
          </w:p>
        </w:tc>
      </w:tr>
      <w:tr w:rsidR="00762C45">
        <w:trPr>
          <w:trHeight w:val="274"/>
        </w:trPr>
        <w:tc>
          <w:tcPr>
            <w:tcW w:w="1895" w:type="dxa"/>
            <w:vMerge/>
            <w:tcBorders>
              <w:top w:val="single" w:sz="4" w:space="0" w:color="00000A"/>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rPr>
                <w:rFonts w:eastAsia="Times New Roman"/>
                <w:b/>
                <w:bCs/>
                <w:sz w:val="18"/>
                <w:szCs w:val="18"/>
              </w:rPr>
            </w:pPr>
          </w:p>
        </w:tc>
        <w:tc>
          <w:tcPr>
            <w:tcW w:w="2815" w:type="dxa"/>
            <w:vMerge/>
            <w:tcBorders>
              <w:top w:val="single" w:sz="4" w:space="0" w:color="00000A"/>
              <w:left w:val="single" w:sz="4" w:space="0" w:color="00000A"/>
              <w:bottom w:val="single" w:sz="4" w:space="0" w:color="000001"/>
              <w:right w:val="single" w:sz="4" w:space="0" w:color="00000A"/>
            </w:tcBorders>
            <w:shd w:val="clear" w:color="auto" w:fill="auto"/>
            <w:tcMar>
              <w:left w:w="0" w:type="dxa"/>
            </w:tcMar>
          </w:tcPr>
          <w:p w:rsidR="00762C45" w:rsidRDefault="00762C45">
            <w:pPr>
              <w:jc w:val="both"/>
              <w:rPr>
                <w:rFonts w:eastAsia="Times New Roman"/>
                <w:b/>
                <w:bCs/>
                <w:sz w:val="18"/>
                <w:szCs w:val="18"/>
              </w:rPr>
            </w:pPr>
          </w:p>
        </w:tc>
        <w:tc>
          <w:tcPr>
            <w:tcW w:w="626" w:type="dxa"/>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18"/>
                <w:szCs w:val="18"/>
              </w:rPr>
            </w:pPr>
            <w:r>
              <w:rPr>
                <w:rFonts w:eastAsia="Times New Roman"/>
                <w:b/>
                <w:bCs/>
                <w:sz w:val="18"/>
                <w:szCs w:val="18"/>
              </w:rPr>
              <w:t>2016</w:t>
            </w:r>
          </w:p>
        </w:tc>
        <w:tc>
          <w:tcPr>
            <w:tcW w:w="743" w:type="dxa"/>
            <w:gridSpan w:val="2"/>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right="-70"/>
              <w:jc w:val="center"/>
              <w:rPr>
                <w:rFonts w:eastAsia="Times New Roman"/>
                <w:b/>
                <w:bCs/>
                <w:sz w:val="18"/>
                <w:szCs w:val="18"/>
              </w:rPr>
            </w:pPr>
            <w:r>
              <w:rPr>
                <w:rFonts w:eastAsia="Times New Roman"/>
                <w:b/>
                <w:bCs/>
                <w:sz w:val="18"/>
                <w:szCs w:val="18"/>
              </w:rPr>
              <w:t>2017</w:t>
            </w:r>
          </w:p>
        </w:tc>
        <w:tc>
          <w:tcPr>
            <w:tcW w:w="1072" w:type="dxa"/>
            <w:gridSpan w:val="2"/>
            <w:tcBorders>
              <w:top w:val="single" w:sz="4" w:space="0" w:color="000001"/>
              <w:left w:val="single" w:sz="4" w:space="0" w:color="00000A"/>
              <w:bottom w:val="single" w:sz="4" w:space="0" w:color="000001"/>
              <w:right w:val="single" w:sz="4" w:space="0" w:color="00000A"/>
            </w:tcBorders>
            <w:shd w:val="clear" w:color="000000" w:fill="92D050"/>
            <w:tcMar>
              <w:left w:w="0" w:type="dxa"/>
            </w:tcMar>
            <w:vAlign w:val="center"/>
          </w:tcPr>
          <w:p w:rsidR="00762C45" w:rsidRDefault="00303B66">
            <w:pPr>
              <w:ind w:left="-49" w:right="-70"/>
              <w:jc w:val="center"/>
              <w:rPr>
                <w:rFonts w:eastAsia="Times New Roman"/>
                <w:b/>
                <w:bCs/>
                <w:sz w:val="18"/>
                <w:szCs w:val="18"/>
              </w:rPr>
            </w:pPr>
            <w:r>
              <w:rPr>
                <w:rFonts w:eastAsia="Times New Roman"/>
                <w:b/>
                <w:bCs/>
                <w:sz w:val="18"/>
                <w:szCs w:val="18"/>
              </w:rPr>
              <w:t>2018</w:t>
            </w:r>
          </w:p>
        </w:tc>
        <w:tc>
          <w:tcPr>
            <w:tcW w:w="2266"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jc w:val="both"/>
              <w:rPr>
                <w:rFonts w:eastAsia="Times New Roman"/>
                <w:b/>
                <w:bCs/>
                <w:sz w:val="18"/>
                <w:szCs w:val="18"/>
              </w:rPr>
            </w:pPr>
          </w:p>
        </w:tc>
        <w:tc>
          <w:tcPr>
            <w:tcW w:w="5206" w:type="dxa"/>
            <w:gridSpan w:val="3"/>
            <w:vMerge/>
            <w:tcBorders>
              <w:top w:val="single" w:sz="4" w:space="0" w:color="000001"/>
              <w:left w:val="single" w:sz="4" w:space="0" w:color="00000A"/>
              <w:bottom w:val="single" w:sz="4" w:space="0" w:color="00000A"/>
              <w:right w:val="single" w:sz="4" w:space="0" w:color="00000A"/>
            </w:tcBorders>
            <w:shd w:val="clear" w:color="auto" w:fill="auto"/>
            <w:tcMar>
              <w:left w:w="0" w:type="dxa"/>
            </w:tcMar>
          </w:tcPr>
          <w:p w:rsidR="00762C45" w:rsidRDefault="00762C45">
            <w:pPr>
              <w:jc w:val="center"/>
              <w:rPr>
                <w:rFonts w:eastAsia="Times New Roman"/>
                <w:b/>
                <w:bCs/>
                <w:sz w:val="18"/>
                <w:szCs w:val="18"/>
              </w:rPr>
            </w:pPr>
          </w:p>
        </w:tc>
      </w:tr>
      <w:tr w:rsidR="00762C45">
        <w:trPr>
          <w:trHeight w:val="697"/>
        </w:trPr>
        <w:tc>
          <w:tcPr>
            <w:tcW w:w="1895"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hanging="45"/>
              <w:jc w:val="both"/>
              <w:rPr>
                <w:rFonts w:eastAsia="Times New Roman"/>
                <w:b/>
                <w:bCs/>
                <w:sz w:val="18"/>
                <w:szCs w:val="18"/>
              </w:rPr>
            </w:pPr>
            <w:r>
              <w:rPr>
                <w:rFonts w:eastAsia="Times New Roman"/>
                <w:b/>
                <w:bCs/>
                <w:sz w:val="18"/>
                <w:szCs w:val="18"/>
              </w:rPr>
              <w:t xml:space="preserve">Objetivo 12. </w:t>
            </w:r>
            <w:r>
              <w:rPr>
                <w:rFonts w:eastAsia="Times New Roman"/>
                <w:sz w:val="18"/>
                <w:szCs w:val="18"/>
              </w:rPr>
              <w:t>Reduzir a taxa de evasão e retenção de alunos</w:t>
            </w:r>
          </w:p>
        </w:tc>
        <w:tc>
          <w:tcPr>
            <w:tcW w:w="28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rFonts w:eastAsia="Times New Roman"/>
                <w:b/>
                <w:bCs/>
                <w:sz w:val="18"/>
                <w:szCs w:val="18"/>
              </w:rPr>
            </w:pPr>
            <w:r>
              <w:rPr>
                <w:rFonts w:eastAsia="Times New Roman"/>
                <w:b/>
                <w:bCs/>
                <w:sz w:val="18"/>
                <w:szCs w:val="18"/>
              </w:rPr>
              <w:t xml:space="preserve">META 1. </w:t>
            </w:r>
            <w:r>
              <w:rPr>
                <w:rFonts w:eastAsia="Times New Roman"/>
                <w:sz w:val="18"/>
                <w:szCs w:val="18"/>
              </w:rPr>
              <w:t>Diagnosticar as causas da evasão nos cursos ofertados no CAV, em todos os níveis e modalidades.</w:t>
            </w:r>
          </w:p>
        </w:tc>
        <w:tc>
          <w:tcPr>
            <w:tcW w:w="62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10</w:t>
            </w:r>
          </w:p>
        </w:tc>
        <w:tc>
          <w:tcPr>
            <w:tcW w:w="743"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18</w:t>
            </w:r>
          </w:p>
        </w:tc>
        <w:tc>
          <w:tcPr>
            <w:tcW w:w="1072"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18</w:t>
            </w:r>
          </w:p>
        </w:tc>
        <w:tc>
          <w:tcPr>
            <w:tcW w:w="226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Número de </w:t>
            </w:r>
            <w:r>
              <w:rPr>
                <w:rFonts w:eastAsia="Times New Roman"/>
                <w:i/>
                <w:sz w:val="18"/>
                <w:szCs w:val="18"/>
              </w:rPr>
              <w:t>campi</w:t>
            </w:r>
            <w:r>
              <w:rPr>
                <w:rFonts w:eastAsia="Times New Roman"/>
                <w:sz w:val="18"/>
                <w:szCs w:val="18"/>
              </w:rPr>
              <w:t xml:space="preserve"> com o Diagnóstico de evasão realizados</w:t>
            </w:r>
          </w:p>
        </w:tc>
        <w:tc>
          <w:tcPr>
            <w:tcW w:w="5206"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Elaborar estudos com vistas a diagnosticar o quantitativo de evasão de alunos do </w:t>
            </w:r>
            <w:r>
              <w:rPr>
                <w:rFonts w:eastAsia="Times New Roman"/>
                <w:i/>
                <w:sz w:val="18"/>
                <w:szCs w:val="18"/>
              </w:rPr>
              <w:t>campus</w:t>
            </w:r>
          </w:p>
        </w:tc>
      </w:tr>
      <w:tr w:rsidR="00762C45">
        <w:trPr>
          <w:trHeight w:val="697"/>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left="57" w:right="57" w:hanging="45"/>
              <w:jc w:val="both"/>
              <w:rPr>
                <w:rFonts w:eastAsia="Times New Roman"/>
                <w:b/>
                <w:bCs/>
                <w:sz w:val="18"/>
                <w:szCs w:val="18"/>
              </w:rPr>
            </w:pPr>
          </w:p>
        </w:tc>
        <w:tc>
          <w:tcPr>
            <w:tcW w:w="28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sz w:val="18"/>
                <w:szCs w:val="18"/>
              </w:rPr>
            </w:pPr>
            <w:r>
              <w:rPr>
                <w:rFonts w:eastAsia="Times New Roman"/>
                <w:b/>
                <w:bCs/>
                <w:sz w:val="18"/>
                <w:szCs w:val="18"/>
              </w:rPr>
              <w:t xml:space="preserve">META 2. </w:t>
            </w:r>
            <w:r>
              <w:rPr>
                <w:rFonts w:eastAsia="Times New Roman"/>
                <w:sz w:val="18"/>
                <w:szCs w:val="18"/>
              </w:rPr>
              <w:t>Reduzir o nível de evasão.</w:t>
            </w:r>
          </w:p>
        </w:tc>
        <w:tc>
          <w:tcPr>
            <w:tcW w:w="62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40%</w:t>
            </w:r>
          </w:p>
        </w:tc>
        <w:tc>
          <w:tcPr>
            <w:tcW w:w="743"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25%</w:t>
            </w:r>
          </w:p>
        </w:tc>
        <w:tc>
          <w:tcPr>
            <w:tcW w:w="1072"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20%</w:t>
            </w:r>
          </w:p>
        </w:tc>
        <w:tc>
          <w:tcPr>
            <w:tcW w:w="226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Percentual de evasão escolar</w:t>
            </w:r>
          </w:p>
        </w:tc>
        <w:tc>
          <w:tcPr>
            <w:tcW w:w="5206"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Promover ações com vistas a reduzir o número de evasão escolar nos cursos do </w:t>
            </w:r>
            <w:r>
              <w:rPr>
                <w:rFonts w:eastAsia="Times New Roman"/>
                <w:i/>
                <w:sz w:val="18"/>
                <w:szCs w:val="18"/>
              </w:rPr>
              <w:t>campus</w:t>
            </w:r>
          </w:p>
        </w:tc>
      </w:tr>
      <w:tr w:rsidR="00762C45">
        <w:trPr>
          <w:trHeight w:val="697"/>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left="57" w:right="57" w:hanging="45"/>
              <w:jc w:val="both"/>
              <w:rPr>
                <w:rFonts w:eastAsia="Times New Roman"/>
                <w:b/>
                <w:bCs/>
                <w:sz w:val="18"/>
                <w:szCs w:val="18"/>
              </w:rPr>
            </w:pPr>
          </w:p>
        </w:tc>
        <w:tc>
          <w:tcPr>
            <w:tcW w:w="28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sz w:val="18"/>
                <w:szCs w:val="18"/>
              </w:rPr>
            </w:pPr>
            <w:r>
              <w:rPr>
                <w:rFonts w:eastAsia="Times New Roman"/>
                <w:b/>
                <w:bCs/>
                <w:sz w:val="18"/>
                <w:szCs w:val="18"/>
              </w:rPr>
              <w:t xml:space="preserve">META 3. </w:t>
            </w:r>
            <w:r>
              <w:rPr>
                <w:rFonts w:eastAsia="Times New Roman"/>
                <w:sz w:val="18"/>
                <w:szCs w:val="18"/>
              </w:rPr>
              <w:t>Diminuir a taxa de retenção nos componentes curriculares.</w:t>
            </w:r>
          </w:p>
        </w:tc>
        <w:tc>
          <w:tcPr>
            <w:tcW w:w="62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762C45">
            <w:pPr>
              <w:ind w:left="57" w:right="57"/>
              <w:jc w:val="right"/>
              <w:rPr>
                <w:rFonts w:eastAsia="Times New Roman"/>
                <w:sz w:val="18"/>
                <w:szCs w:val="18"/>
              </w:rPr>
            </w:pPr>
          </w:p>
        </w:tc>
        <w:tc>
          <w:tcPr>
            <w:tcW w:w="743"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30%</w:t>
            </w:r>
          </w:p>
        </w:tc>
        <w:tc>
          <w:tcPr>
            <w:tcW w:w="1072"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20%</w:t>
            </w:r>
          </w:p>
        </w:tc>
        <w:tc>
          <w:tcPr>
            <w:tcW w:w="226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Percentual de reprovação por componente curricular</w:t>
            </w:r>
          </w:p>
        </w:tc>
        <w:tc>
          <w:tcPr>
            <w:tcW w:w="5206"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Promover ações com vistas a reduzir o quantitativo de reprovação de alunos do </w:t>
            </w:r>
            <w:r>
              <w:rPr>
                <w:rFonts w:eastAsia="Times New Roman"/>
                <w:i/>
                <w:sz w:val="18"/>
                <w:szCs w:val="18"/>
              </w:rPr>
              <w:t>campus</w:t>
            </w:r>
            <w:r>
              <w:rPr>
                <w:rFonts w:eastAsia="Times New Roman"/>
                <w:sz w:val="18"/>
                <w:szCs w:val="18"/>
              </w:rPr>
              <w:t xml:space="preserve"> nos componentes curriculares dos seus cursos</w:t>
            </w:r>
          </w:p>
        </w:tc>
      </w:tr>
      <w:tr w:rsidR="00762C45">
        <w:trPr>
          <w:trHeight w:val="765"/>
        </w:trPr>
        <w:tc>
          <w:tcPr>
            <w:tcW w:w="1895"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hanging="45"/>
              <w:jc w:val="both"/>
              <w:rPr>
                <w:rFonts w:eastAsia="Times New Roman"/>
                <w:b/>
                <w:bCs/>
                <w:sz w:val="18"/>
                <w:szCs w:val="18"/>
              </w:rPr>
            </w:pPr>
            <w:r>
              <w:rPr>
                <w:rFonts w:eastAsia="Times New Roman"/>
                <w:b/>
                <w:bCs/>
                <w:sz w:val="18"/>
                <w:szCs w:val="18"/>
              </w:rPr>
              <w:t xml:space="preserve">Objetivo 14. </w:t>
            </w:r>
            <w:r>
              <w:rPr>
                <w:rFonts w:eastAsia="Times New Roman"/>
                <w:sz w:val="18"/>
                <w:szCs w:val="18"/>
              </w:rPr>
              <w:t>Fortalecer as Comissões e a valorização dos servidores do IFPA</w:t>
            </w: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rPr>
                <w:rFonts w:eastAsia="Times New Roman"/>
                <w:b/>
                <w:bCs/>
                <w:sz w:val="18"/>
                <w:szCs w:val="18"/>
              </w:rPr>
            </w:pPr>
            <w:r>
              <w:rPr>
                <w:rFonts w:eastAsia="Times New Roman"/>
                <w:b/>
                <w:bCs/>
                <w:sz w:val="18"/>
                <w:szCs w:val="18"/>
              </w:rPr>
              <w:t>META 1</w:t>
            </w:r>
            <w:r>
              <w:rPr>
                <w:rFonts w:eastAsia="Times New Roman"/>
                <w:sz w:val="18"/>
                <w:szCs w:val="18"/>
              </w:rPr>
              <w:t>. Efetivar a implantação das comissões e subcomissões (quando for o caso) da CPPD, CIS e Comissão de Ética</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_</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3</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3</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Número de comissões implantadas</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Implantação no </w:t>
            </w:r>
            <w:r>
              <w:rPr>
                <w:rFonts w:eastAsia="Times New Roman"/>
                <w:i/>
                <w:sz w:val="18"/>
                <w:szCs w:val="18"/>
              </w:rPr>
              <w:t>campus</w:t>
            </w:r>
            <w:r>
              <w:rPr>
                <w:rFonts w:eastAsia="Times New Roman"/>
                <w:sz w:val="18"/>
                <w:szCs w:val="18"/>
              </w:rPr>
              <w:t xml:space="preserve"> das suas subcomissões da CPPD, CIS e de Ética</w:t>
            </w:r>
          </w:p>
        </w:tc>
      </w:tr>
      <w:tr w:rsidR="00762C45">
        <w:trPr>
          <w:trHeight w:val="765"/>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left="57" w:right="57" w:hanging="45"/>
              <w:jc w:val="both"/>
              <w:rPr>
                <w:sz w:val="18"/>
                <w:szCs w:val="18"/>
              </w:rPr>
            </w:pP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rPr>
                <w:sz w:val="18"/>
                <w:szCs w:val="18"/>
              </w:rPr>
            </w:pPr>
            <w:r>
              <w:rPr>
                <w:rFonts w:eastAsia="Times New Roman"/>
                <w:b/>
                <w:bCs/>
                <w:sz w:val="18"/>
                <w:szCs w:val="18"/>
              </w:rPr>
              <w:t xml:space="preserve">META 2. </w:t>
            </w:r>
            <w:r>
              <w:rPr>
                <w:rFonts w:eastAsia="Times New Roman"/>
                <w:sz w:val="18"/>
                <w:szCs w:val="18"/>
              </w:rPr>
              <w:t>Implantar as ações de promoção e prevenção à saúde dos servidores</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75%</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100%</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100%</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Número de servidores atendidos</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Promover ações com vistas a promoção da saúde e prevenção de doenças dos servidores do </w:t>
            </w:r>
            <w:r>
              <w:rPr>
                <w:rFonts w:eastAsia="Times New Roman"/>
                <w:i/>
                <w:sz w:val="18"/>
                <w:szCs w:val="18"/>
              </w:rPr>
              <w:t>campus</w:t>
            </w:r>
          </w:p>
        </w:tc>
      </w:tr>
      <w:tr w:rsidR="00762C45">
        <w:trPr>
          <w:trHeight w:val="312"/>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vAlign w:val="center"/>
          </w:tcPr>
          <w:p w:rsidR="00762C45" w:rsidRDefault="00762C45">
            <w:pPr>
              <w:ind w:left="57" w:right="57" w:hanging="45"/>
              <w:jc w:val="center"/>
              <w:rPr>
                <w:rFonts w:eastAsia="Times New Roman"/>
                <w:sz w:val="18"/>
                <w:szCs w:val="18"/>
              </w:rPr>
            </w:pP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rPr>
                <w:sz w:val="18"/>
                <w:szCs w:val="18"/>
              </w:rPr>
            </w:pPr>
            <w:r>
              <w:rPr>
                <w:rFonts w:eastAsia="Times New Roman"/>
                <w:b/>
                <w:bCs/>
                <w:sz w:val="18"/>
                <w:szCs w:val="18"/>
              </w:rPr>
              <w:t xml:space="preserve">META 3. </w:t>
            </w:r>
            <w:r>
              <w:rPr>
                <w:rFonts w:eastAsia="Times New Roman"/>
                <w:sz w:val="18"/>
                <w:szCs w:val="18"/>
              </w:rPr>
              <w:t>Capacitar os servidores em cursos de aprendizagem contínua</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_</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100%</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100%</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Percentual de servidores capacitados</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Incentivar os servidores do </w:t>
            </w:r>
            <w:r>
              <w:rPr>
                <w:rFonts w:eastAsia="Times New Roman"/>
                <w:i/>
                <w:sz w:val="18"/>
                <w:szCs w:val="18"/>
              </w:rPr>
              <w:t>campus</w:t>
            </w:r>
            <w:r>
              <w:rPr>
                <w:rFonts w:eastAsia="Times New Roman"/>
                <w:sz w:val="18"/>
                <w:szCs w:val="18"/>
              </w:rPr>
              <w:t xml:space="preserve"> a participar de cursos de aprendizagem continua</w:t>
            </w:r>
          </w:p>
        </w:tc>
      </w:tr>
      <w:tr w:rsidR="00762C45">
        <w:trPr>
          <w:trHeight w:val="510"/>
        </w:trPr>
        <w:tc>
          <w:tcPr>
            <w:tcW w:w="1895"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hanging="45"/>
              <w:jc w:val="both"/>
              <w:rPr>
                <w:rFonts w:eastAsia="Times New Roman"/>
                <w:b/>
                <w:bCs/>
                <w:sz w:val="18"/>
                <w:szCs w:val="18"/>
              </w:rPr>
            </w:pPr>
            <w:r>
              <w:rPr>
                <w:rFonts w:eastAsia="Times New Roman"/>
                <w:b/>
                <w:bCs/>
                <w:sz w:val="18"/>
                <w:szCs w:val="18"/>
              </w:rPr>
              <w:t xml:space="preserve">Objetivo 15. </w:t>
            </w:r>
            <w:r>
              <w:rPr>
                <w:rFonts w:eastAsia="Times New Roman"/>
                <w:sz w:val="18"/>
                <w:szCs w:val="18"/>
              </w:rPr>
              <w:t>Definir políticas de Comunicação Institucional</w:t>
            </w: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hanging="50"/>
              <w:jc w:val="both"/>
              <w:rPr>
                <w:rFonts w:eastAsia="Times New Roman"/>
                <w:b/>
                <w:bCs/>
                <w:sz w:val="18"/>
                <w:szCs w:val="18"/>
              </w:rPr>
            </w:pPr>
            <w:r>
              <w:rPr>
                <w:rFonts w:eastAsia="Times New Roman"/>
                <w:b/>
                <w:bCs/>
                <w:sz w:val="18"/>
                <w:szCs w:val="18"/>
              </w:rPr>
              <w:t xml:space="preserve">META 1. </w:t>
            </w:r>
            <w:r>
              <w:rPr>
                <w:rFonts w:eastAsia="Times New Roman"/>
                <w:sz w:val="18"/>
                <w:szCs w:val="18"/>
              </w:rPr>
              <w:t>Regular a comunicação interna e o relacionamento externo do IFPA</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18</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7</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7</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Número de políticas reguladas</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Participar de discussões sobre a regulamentação da comunicação no IFPA a fim de contribuir para melhorar interna e externamente a comunicação do </w:t>
            </w:r>
            <w:r>
              <w:rPr>
                <w:rFonts w:eastAsia="Times New Roman"/>
                <w:i/>
                <w:sz w:val="18"/>
                <w:szCs w:val="18"/>
              </w:rPr>
              <w:t>campus</w:t>
            </w:r>
          </w:p>
        </w:tc>
      </w:tr>
      <w:tr w:rsidR="00762C45">
        <w:trPr>
          <w:trHeight w:val="510"/>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left="57" w:right="57" w:hanging="45"/>
              <w:jc w:val="both"/>
              <w:rPr>
                <w:sz w:val="18"/>
                <w:szCs w:val="18"/>
              </w:rPr>
            </w:pPr>
          </w:p>
        </w:tc>
        <w:tc>
          <w:tcPr>
            <w:tcW w:w="28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sz w:val="18"/>
                <w:szCs w:val="18"/>
              </w:rPr>
            </w:pPr>
            <w:r>
              <w:rPr>
                <w:rFonts w:eastAsia="Times New Roman"/>
                <w:b/>
                <w:bCs/>
                <w:sz w:val="18"/>
                <w:szCs w:val="18"/>
              </w:rPr>
              <w:t xml:space="preserve">META 2. </w:t>
            </w:r>
            <w:r>
              <w:rPr>
                <w:rFonts w:eastAsia="Times New Roman"/>
                <w:sz w:val="18"/>
                <w:szCs w:val="18"/>
              </w:rPr>
              <w:t xml:space="preserve">Regular as Assessorias de Comunicação e Imprensa nos </w:t>
            </w:r>
            <w:r>
              <w:rPr>
                <w:rFonts w:eastAsia="Times New Roman"/>
                <w:i/>
                <w:sz w:val="18"/>
                <w:szCs w:val="18"/>
              </w:rPr>
              <w:t>campi</w:t>
            </w:r>
          </w:p>
        </w:tc>
        <w:tc>
          <w:tcPr>
            <w:tcW w:w="62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3</w:t>
            </w:r>
          </w:p>
        </w:tc>
        <w:tc>
          <w:tcPr>
            <w:tcW w:w="743"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18</w:t>
            </w:r>
          </w:p>
        </w:tc>
        <w:tc>
          <w:tcPr>
            <w:tcW w:w="1072"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18</w:t>
            </w:r>
          </w:p>
        </w:tc>
        <w:tc>
          <w:tcPr>
            <w:tcW w:w="226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Número de Campi com Assessorias Comunicação e Imprensa de </w:t>
            </w:r>
          </w:p>
        </w:tc>
        <w:tc>
          <w:tcPr>
            <w:tcW w:w="5206"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 xml:space="preserve">Participar da regulamentação e implantação da Assessoria de Comunicação e Imprensa do </w:t>
            </w:r>
            <w:r>
              <w:rPr>
                <w:rFonts w:eastAsia="Times New Roman"/>
                <w:i/>
                <w:sz w:val="18"/>
                <w:szCs w:val="18"/>
              </w:rPr>
              <w:t>campus</w:t>
            </w:r>
          </w:p>
        </w:tc>
      </w:tr>
      <w:tr w:rsidR="00762C45">
        <w:trPr>
          <w:trHeight w:val="510"/>
        </w:trPr>
        <w:tc>
          <w:tcPr>
            <w:tcW w:w="1895"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ind w:left="57" w:right="57" w:hanging="45"/>
              <w:jc w:val="both"/>
              <w:rPr>
                <w:rFonts w:eastAsia="Times New Roman"/>
                <w:b/>
                <w:bCs/>
                <w:sz w:val="18"/>
                <w:szCs w:val="18"/>
              </w:rPr>
            </w:pPr>
            <w:r>
              <w:rPr>
                <w:rFonts w:eastAsia="Times New Roman"/>
                <w:b/>
                <w:bCs/>
                <w:sz w:val="18"/>
                <w:szCs w:val="18"/>
              </w:rPr>
              <w:t xml:space="preserve">Objetivo 16. </w:t>
            </w:r>
            <w:r>
              <w:rPr>
                <w:rFonts w:eastAsia="Times New Roman"/>
                <w:sz w:val="18"/>
                <w:szCs w:val="18"/>
              </w:rPr>
              <w:t>Ampliar a comunicação a partir de Rádios, TVs e a participação em redes sociais e outras mídias</w:t>
            </w:r>
          </w:p>
        </w:tc>
        <w:tc>
          <w:tcPr>
            <w:tcW w:w="28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rFonts w:eastAsia="Times New Roman"/>
                <w:b/>
                <w:bCs/>
                <w:sz w:val="18"/>
                <w:szCs w:val="18"/>
              </w:rPr>
            </w:pPr>
            <w:r>
              <w:rPr>
                <w:rFonts w:eastAsia="Times New Roman"/>
                <w:b/>
                <w:bCs/>
                <w:sz w:val="18"/>
                <w:szCs w:val="18"/>
              </w:rPr>
              <w:t xml:space="preserve">META 1. </w:t>
            </w:r>
            <w:r>
              <w:rPr>
                <w:rFonts w:eastAsia="Times New Roman"/>
                <w:sz w:val="18"/>
                <w:szCs w:val="18"/>
              </w:rPr>
              <w:t>Realizar cooperação com entidades sem fins lucrativos e com evidente fim de beneficiar a sociedade com programação cidadã para que equipem e operacionalizem estes veículos de comunicação</w:t>
            </w:r>
          </w:p>
        </w:tc>
        <w:tc>
          <w:tcPr>
            <w:tcW w:w="62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_</w:t>
            </w:r>
          </w:p>
        </w:tc>
        <w:tc>
          <w:tcPr>
            <w:tcW w:w="743"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1</w:t>
            </w:r>
          </w:p>
        </w:tc>
        <w:tc>
          <w:tcPr>
            <w:tcW w:w="1072"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2</w:t>
            </w:r>
          </w:p>
        </w:tc>
        <w:tc>
          <w:tcPr>
            <w:tcW w:w="226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(Número de cooperações firmadas)</w:t>
            </w:r>
          </w:p>
        </w:tc>
        <w:tc>
          <w:tcPr>
            <w:tcW w:w="5206"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Articular a cooperação na área de comunicação com rádios, jornais e redes sociais locais a fim de beneficiar a sociedade com programação cidadã.</w:t>
            </w:r>
          </w:p>
        </w:tc>
      </w:tr>
      <w:tr w:rsidR="00762C45">
        <w:trPr>
          <w:trHeight w:val="510"/>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ind w:left="57" w:right="57" w:hanging="45"/>
              <w:jc w:val="both"/>
              <w:rPr>
                <w:sz w:val="18"/>
                <w:szCs w:val="18"/>
              </w:rPr>
            </w:pPr>
          </w:p>
        </w:tc>
        <w:tc>
          <w:tcPr>
            <w:tcW w:w="2815"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hanging="50"/>
              <w:jc w:val="both"/>
              <w:rPr>
                <w:rFonts w:eastAsia="Times New Roman"/>
                <w:b/>
                <w:bCs/>
                <w:sz w:val="18"/>
                <w:szCs w:val="18"/>
              </w:rPr>
            </w:pPr>
            <w:r>
              <w:rPr>
                <w:rFonts w:eastAsia="Times New Roman"/>
                <w:b/>
                <w:bCs/>
                <w:sz w:val="18"/>
                <w:szCs w:val="18"/>
              </w:rPr>
              <w:t xml:space="preserve">META 2. </w:t>
            </w:r>
            <w:r>
              <w:rPr>
                <w:rFonts w:eastAsia="Times New Roman"/>
                <w:sz w:val="18"/>
                <w:szCs w:val="18"/>
              </w:rPr>
              <w:t>Implantar serviço de envio de mensagens via celular para os servidores</w:t>
            </w:r>
          </w:p>
        </w:tc>
        <w:tc>
          <w:tcPr>
            <w:tcW w:w="62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40%</w:t>
            </w:r>
          </w:p>
        </w:tc>
        <w:tc>
          <w:tcPr>
            <w:tcW w:w="743"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80%</w:t>
            </w:r>
          </w:p>
        </w:tc>
        <w:tc>
          <w:tcPr>
            <w:tcW w:w="1072" w:type="dxa"/>
            <w:gridSpan w:val="2"/>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jc w:val="right"/>
              <w:rPr>
                <w:rFonts w:eastAsia="Times New Roman"/>
                <w:sz w:val="18"/>
                <w:szCs w:val="18"/>
              </w:rPr>
            </w:pPr>
            <w:r>
              <w:rPr>
                <w:rFonts w:eastAsia="Times New Roman"/>
                <w:sz w:val="18"/>
                <w:szCs w:val="18"/>
              </w:rPr>
              <w:t>80%</w:t>
            </w:r>
          </w:p>
        </w:tc>
        <w:tc>
          <w:tcPr>
            <w:tcW w:w="2266" w:type="dxa"/>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Número de servidores com celulares cadastrados e aptos</w:t>
            </w:r>
          </w:p>
        </w:tc>
        <w:tc>
          <w:tcPr>
            <w:tcW w:w="5206" w:type="dxa"/>
            <w:gridSpan w:val="3"/>
            <w:tcBorders>
              <w:top w:val="single" w:sz="4" w:space="0" w:color="000001"/>
              <w:left w:val="single" w:sz="4" w:space="0" w:color="00000A"/>
              <w:bottom w:val="single" w:sz="4" w:space="0" w:color="000001"/>
              <w:right w:val="single" w:sz="4" w:space="0" w:color="00000A"/>
            </w:tcBorders>
            <w:shd w:val="clear" w:color="auto" w:fill="auto"/>
          </w:tcPr>
          <w:p w:rsidR="00762C45" w:rsidRDefault="00303B66">
            <w:pPr>
              <w:ind w:left="57" w:right="57" w:firstLine="20"/>
              <w:jc w:val="both"/>
              <w:rPr>
                <w:rFonts w:eastAsia="Times New Roman"/>
                <w:sz w:val="18"/>
                <w:szCs w:val="18"/>
              </w:rPr>
            </w:pPr>
            <w:r>
              <w:rPr>
                <w:rFonts w:eastAsia="Times New Roman"/>
                <w:sz w:val="18"/>
                <w:szCs w:val="18"/>
              </w:rPr>
              <w:t>Consolidar o grupo de comunicação dos servidores via mensagens por celular</w:t>
            </w:r>
          </w:p>
        </w:tc>
      </w:tr>
      <w:tr w:rsidR="00762C45">
        <w:trPr>
          <w:trHeight w:val="390"/>
        </w:trPr>
        <w:tc>
          <w:tcPr>
            <w:tcW w:w="1895" w:type="dxa"/>
            <w:vMerge w:val="restart"/>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303B66">
            <w:pPr>
              <w:jc w:val="center"/>
              <w:rPr>
                <w:rFonts w:eastAsia="Times New Roman"/>
                <w:b/>
                <w:bCs/>
                <w:sz w:val="18"/>
                <w:szCs w:val="18"/>
              </w:rPr>
            </w:pPr>
            <w:r>
              <w:rPr>
                <w:rFonts w:eastAsia="Times New Roman"/>
                <w:b/>
                <w:bCs/>
                <w:sz w:val="18"/>
                <w:szCs w:val="18"/>
              </w:rPr>
              <w:lastRenderedPageBreak/>
              <w:t>Objetivo</w:t>
            </w:r>
          </w:p>
        </w:tc>
        <w:tc>
          <w:tcPr>
            <w:tcW w:w="2815" w:type="dxa"/>
            <w:vMerge w:val="restart"/>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303B66">
            <w:pPr>
              <w:jc w:val="center"/>
              <w:rPr>
                <w:rFonts w:eastAsia="Times New Roman"/>
                <w:b/>
                <w:bCs/>
                <w:sz w:val="18"/>
                <w:szCs w:val="18"/>
              </w:rPr>
            </w:pPr>
            <w:r>
              <w:rPr>
                <w:rFonts w:eastAsia="Times New Roman"/>
                <w:b/>
                <w:bCs/>
                <w:sz w:val="18"/>
                <w:szCs w:val="18"/>
              </w:rPr>
              <w:t>Metas</w:t>
            </w:r>
          </w:p>
        </w:tc>
        <w:tc>
          <w:tcPr>
            <w:tcW w:w="2441" w:type="dxa"/>
            <w:gridSpan w:val="5"/>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303B66">
            <w:pPr>
              <w:ind w:left="-778"/>
              <w:jc w:val="center"/>
              <w:rPr>
                <w:rFonts w:eastAsia="Times New Roman"/>
                <w:b/>
                <w:bCs/>
                <w:sz w:val="18"/>
                <w:szCs w:val="18"/>
              </w:rPr>
            </w:pPr>
            <w:r>
              <w:rPr>
                <w:rFonts w:eastAsia="Times New Roman"/>
                <w:b/>
                <w:bCs/>
                <w:sz w:val="18"/>
                <w:szCs w:val="18"/>
              </w:rPr>
              <w:t>Ano</w:t>
            </w:r>
          </w:p>
        </w:tc>
        <w:tc>
          <w:tcPr>
            <w:tcW w:w="2266" w:type="dxa"/>
            <w:vMerge w:val="restart"/>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303B66">
            <w:pPr>
              <w:ind w:firstLine="20"/>
              <w:jc w:val="center"/>
              <w:rPr>
                <w:rFonts w:eastAsia="Times New Roman"/>
                <w:b/>
                <w:bCs/>
                <w:sz w:val="18"/>
                <w:szCs w:val="18"/>
              </w:rPr>
            </w:pPr>
            <w:r>
              <w:rPr>
                <w:rFonts w:eastAsia="Times New Roman"/>
                <w:b/>
                <w:bCs/>
                <w:sz w:val="18"/>
                <w:szCs w:val="18"/>
              </w:rPr>
              <w:t>Indicadores</w:t>
            </w:r>
          </w:p>
        </w:tc>
        <w:tc>
          <w:tcPr>
            <w:tcW w:w="5206" w:type="dxa"/>
            <w:gridSpan w:val="3"/>
            <w:vMerge w:val="restart"/>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303B66">
            <w:pPr>
              <w:ind w:firstLine="20"/>
              <w:jc w:val="center"/>
              <w:rPr>
                <w:rFonts w:eastAsia="Times New Roman"/>
                <w:b/>
                <w:bCs/>
                <w:sz w:val="18"/>
                <w:szCs w:val="18"/>
              </w:rPr>
            </w:pPr>
            <w:r>
              <w:rPr>
                <w:rFonts w:eastAsia="Times New Roman"/>
                <w:b/>
                <w:bCs/>
                <w:sz w:val="18"/>
                <w:szCs w:val="18"/>
              </w:rPr>
              <w:t>Estratégias</w:t>
            </w:r>
          </w:p>
        </w:tc>
      </w:tr>
      <w:tr w:rsidR="00762C45">
        <w:trPr>
          <w:trHeight w:val="285"/>
        </w:trPr>
        <w:tc>
          <w:tcPr>
            <w:tcW w:w="1895" w:type="dxa"/>
            <w:vMerge/>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762C45">
            <w:pPr>
              <w:jc w:val="both"/>
              <w:rPr>
                <w:rFonts w:eastAsia="Times New Roman"/>
                <w:b/>
                <w:bCs/>
                <w:sz w:val="18"/>
                <w:szCs w:val="18"/>
              </w:rPr>
            </w:pPr>
          </w:p>
        </w:tc>
        <w:tc>
          <w:tcPr>
            <w:tcW w:w="2815" w:type="dxa"/>
            <w:vMerge/>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762C45">
            <w:pPr>
              <w:ind w:hanging="50"/>
              <w:jc w:val="both"/>
              <w:rPr>
                <w:rFonts w:eastAsia="Times New Roman"/>
                <w:b/>
                <w:bCs/>
                <w:sz w:val="18"/>
                <w:szCs w:val="18"/>
              </w:rPr>
            </w:pPr>
          </w:p>
        </w:tc>
        <w:tc>
          <w:tcPr>
            <w:tcW w:w="626" w:type="dxa"/>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303B66">
            <w:pPr>
              <w:ind w:left="-778"/>
              <w:jc w:val="right"/>
              <w:rPr>
                <w:rFonts w:eastAsia="Times New Roman"/>
                <w:b/>
                <w:bCs/>
                <w:sz w:val="18"/>
                <w:szCs w:val="18"/>
              </w:rPr>
            </w:pPr>
            <w:r>
              <w:rPr>
                <w:rFonts w:eastAsia="Times New Roman"/>
                <w:b/>
                <w:bCs/>
                <w:sz w:val="18"/>
                <w:szCs w:val="18"/>
              </w:rPr>
              <w:t>2016</w:t>
            </w:r>
          </w:p>
        </w:tc>
        <w:tc>
          <w:tcPr>
            <w:tcW w:w="743" w:type="dxa"/>
            <w:gridSpan w:val="2"/>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303B66">
            <w:pPr>
              <w:ind w:left="-778"/>
              <w:jc w:val="right"/>
              <w:rPr>
                <w:rFonts w:eastAsia="Times New Roman"/>
                <w:b/>
                <w:bCs/>
                <w:sz w:val="18"/>
                <w:szCs w:val="18"/>
              </w:rPr>
            </w:pPr>
            <w:r>
              <w:rPr>
                <w:rFonts w:eastAsia="Times New Roman"/>
                <w:b/>
                <w:bCs/>
                <w:sz w:val="18"/>
                <w:szCs w:val="18"/>
              </w:rPr>
              <w:t>2017</w:t>
            </w:r>
          </w:p>
        </w:tc>
        <w:tc>
          <w:tcPr>
            <w:tcW w:w="1072" w:type="dxa"/>
            <w:gridSpan w:val="2"/>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303B66">
            <w:pPr>
              <w:ind w:left="-778"/>
              <w:jc w:val="right"/>
              <w:rPr>
                <w:rFonts w:eastAsia="Times New Roman"/>
                <w:b/>
                <w:bCs/>
                <w:sz w:val="18"/>
                <w:szCs w:val="18"/>
              </w:rPr>
            </w:pPr>
            <w:r>
              <w:rPr>
                <w:rFonts w:eastAsia="Times New Roman"/>
                <w:b/>
                <w:bCs/>
                <w:sz w:val="18"/>
                <w:szCs w:val="18"/>
              </w:rPr>
              <w:t>2018</w:t>
            </w:r>
          </w:p>
        </w:tc>
        <w:tc>
          <w:tcPr>
            <w:tcW w:w="2266" w:type="dxa"/>
            <w:vMerge/>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762C45">
            <w:pPr>
              <w:ind w:firstLine="20"/>
              <w:jc w:val="both"/>
              <w:rPr>
                <w:rFonts w:eastAsia="Times New Roman"/>
                <w:b/>
                <w:bCs/>
                <w:sz w:val="18"/>
                <w:szCs w:val="18"/>
              </w:rPr>
            </w:pPr>
          </w:p>
        </w:tc>
        <w:tc>
          <w:tcPr>
            <w:tcW w:w="5206" w:type="dxa"/>
            <w:gridSpan w:val="3"/>
            <w:vMerge/>
            <w:tcBorders>
              <w:top w:val="single" w:sz="4" w:space="0" w:color="00000A"/>
              <w:left w:val="single" w:sz="4" w:space="0" w:color="00000A"/>
              <w:bottom w:val="single" w:sz="4" w:space="0" w:color="00000A"/>
              <w:right w:val="single" w:sz="4" w:space="0" w:color="00000A"/>
            </w:tcBorders>
            <w:shd w:val="clear" w:color="auto" w:fill="92D050"/>
            <w:tcMar>
              <w:top w:w="55" w:type="dxa"/>
              <w:left w:w="15" w:type="dxa"/>
              <w:bottom w:w="55" w:type="dxa"/>
            </w:tcMar>
            <w:vAlign w:val="center"/>
          </w:tcPr>
          <w:p w:rsidR="00762C45" w:rsidRDefault="00762C45">
            <w:pPr>
              <w:ind w:firstLine="20"/>
              <w:jc w:val="both"/>
              <w:rPr>
                <w:rFonts w:eastAsia="Times New Roman"/>
                <w:b/>
                <w:bCs/>
                <w:sz w:val="18"/>
                <w:szCs w:val="18"/>
              </w:rPr>
            </w:pPr>
          </w:p>
        </w:tc>
      </w:tr>
      <w:tr w:rsidR="00762C45">
        <w:trPr>
          <w:trHeight w:val="510"/>
        </w:trPr>
        <w:tc>
          <w:tcPr>
            <w:tcW w:w="1895" w:type="dxa"/>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spacing w:before="60" w:after="60"/>
              <w:ind w:left="57" w:right="57"/>
              <w:jc w:val="both"/>
              <w:rPr>
                <w:rFonts w:eastAsia="Times New Roman"/>
                <w:b/>
                <w:bCs/>
                <w:sz w:val="18"/>
                <w:szCs w:val="18"/>
              </w:rPr>
            </w:pPr>
            <w:r>
              <w:rPr>
                <w:rFonts w:eastAsia="Times New Roman"/>
                <w:b/>
                <w:bCs/>
                <w:sz w:val="18"/>
                <w:szCs w:val="18"/>
              </w:rPr>
              <w:t>Objetivo 17.</w:t>
            </w:r>
            <w:r>
              <w:rPr>
                <w:rFonts w:eastAsia="Times New Roman"/>
                <w:sz w:val="18"/>
                <w:szCs w:val="18"/>
              </w:rPr>
              <w:t xml:space="preserve"> Desenvolver a cidadania, Marketing Institucional e endomarketing</w:t>
            </w:r>
          </w:p>
        </w:tc>
        <w:tc>
          <w:tcPr>
            <w:tcW w:w="2815"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hanging="50"/>
              <w:jc w:val="both"/>
              <w:rPr>
                <w:rFonts w:eastAsia="Times New Roman"/>
                <w:b/>
                <w:bCs/>
                <w:sz w:val="18"/>
                <w:szCs w:val="18"/>
              </w:rPr>
            </w:pPr>
            <w:r>
              <w:rPr>
                <w:rFonts w:eastAsia="Times New Roman"/>
                <w:b/>
                <w:bCs/>
                <w:sz w:val="18"/>
                <w:szCs w:val="18"/>
              </w:rPr>
              <w:t xml:space="preserve">META 1. </w:t>
            </w:r>
            <w:r>
              <w:rPr>
                <w:rFonts w:eastAsia="Times New Roman"/>
                <w:sz w:val="18"/>
                <w:szCs w:val="18"/>
              </w:rPr>
              <w:t>Capacitar servidores na área de Marketing Institucional, Marketing Pessoal, Oratória, Endomarketing, estrutura administrativa brasileira e relações políticas no ambiente de trabalho e diante do público</w:t>
            </w:r>
          </w:p>
        </w:tc>
        <w:tc>
          <w:tcPr>
            <w:tcW w:w="626"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_</w:t>
            </w:r>
          </w:p>
        </w:tc>
        <w:tc>
          <w:tcPr>
            <w:tcW w:w="743"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50%</w:t>
            </w:r>
          </w:p>
        </w:tc>
        <w:tc>
          <w:tcPr>
            <w:tcW w:w="1072" w:type="dxa"/>
            <w:gridSpan w:val="2"/>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60%</w:t>
            </w:r>
          </w:p>
        </w:tc>
        <w:tc>
          <w:tcPr>
            <w:tcW w:w="2266" w:type="dxa"/>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pPr>
            <w:r>
              <w:rPr>
                <w:rFonts w:eastAsia="Times New Roman"/>
                <w:sz w:val="18"/>
                <w:szCs w:val="18"/>
              </w:rPr>
              <w:t>Percentual de servidores capacitados</w:t>
            </w:r>
          </w:p>
        </w:tc>
        <w:tc>
          <w:tcPr>
            <w:tcW w:w="5206" w:type="dxa"/>
            <w:gridSpan w:val="3"/>
            <w:tcBorders>
              <w:top w:val="single" w:sz="4" w:space="0" w:color="00000A"/>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 xml:space="preserve">Incentivar a participação dos servidores do </w:t>
            </w:r>
            <w:r>
              <w:rPr>
                <w:rFonts w:eastAsia="Times New Roman"/>
                <w:i/>
                <w:sz w:val="18"/>
                <w:szCs w:val="18"/>
              </w:rPr>
              <w:t>campus</w:t>
            </w:r>
            <w:r>
              <w:rPr>
                <w:rFonts w:eastAsia="Times New Roman"/>
                <w:sz w:val="18"/>
                <w:szCs w:val="18"/>
              </w:rPr>
              <w:t xml:space="preserve"> na sua capacitação nas áreas de marketing institucional e endomarketing</w:t>
            </w:r>
          </w:p>
        </w:tc>
      </w:tr>
      <w:tr w:rsidR="00762C45">
        <w:trPr>
          <w:trHeight w:val="700"/>
        </w:trPr>
        <w:tc>
          <w:tcPr>
            <w:tcW w:w="1895" w:type="dxa"/>
            <w:tcBorders>
              <w:top w:val="single" w:sz="4" w:space="0" w:color="000001"/>
              <w:left w:val="single" w:sz="4" w:space="0" w:color="00000A"/>
              <w:bottom w:val="single" w:sz="4" w:space="0" w:color="00000A"/>
              <w:right w:val="single" w:sz="4" w:space="0" w:color="00000A"/>
            </w:tcBorders>
            <w:shd w:val="clear" w:color="auto" w:fill="auto"/>
            <w:tcMar>
              <w:left w:w="0" w:type="dxa"/>
            </w:tcMar>
          </w:tcPr>
          <w:p w:rsidR="00762C45" w:rsidRDefault="00303B66">
            <w:pPr>
              <w:spacing w:before="60" w:after="60"/>
              <w:ind w:left="57" w:right="57" w:hanging="45"/>
              <w:jc w:val="both"/>
              <w:rPr>
                <w:sz w:val="18"/>
                <w:szCs w:val="18"/>
              </w:rPr>
            </w:pPr>
            <w:r>
              <w:rPr>
                <w:rFonts w:eastAsia="Times New Roman"/>
                <w:b/>
                <w:bCs/>
                <w:sz w:val="18"/>
                <w:szCs w:val="18"/>
              </w:rPr>
              <w:t xml:space="preserve">Objetivo 18. </w:t>
            </w:r>
            <w:r>
              <w:rPr>
                <w:rFonts w:eastAsia="Times New Roman"/>
                <w:sz w:val="18"/>
                <w:szCs w:val="18"/>
              </w:rPr>
              <w:t>Implantar o Sistema Integrado de Gestão – SIG</w:t>
            </w: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hanging="50"/>
              <w:jc w:val="both"/>
              <w:rPr>
                <w:sz w:val="18"/>
                <w:szCs w:val="18"/>
              </w:rPr>
            </w:pPr>
            <w:r>
              <w:rPr>
                <w:rFonts w:eastAsia="Times New Roman"/>
                <w:b/>
                <w:bCs/>
                <w:sz w:val="18"/>
                <w:szCs w:val="18"/>
              </w:rPr>
              <w:t xml:space="preserve">META 1. </w:t>
            </w:r>
            <w:r>
              <w:rPr>
                <w:rFonts w:eastAsia="Times New Roman"/>
                <w:sz w:val="18"/>
                <w:szCs w:val="18"/>
              </w:rPr>
              <w:t>Implantar módulos do Sistema Integrado de Gestão</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100%</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rPr>
                <w:sz w:val="18"/>
                <w:szCs w:val="18"/>
              </w:rPr>
            </w:pPr>
            <w:r>
              <w:rPr>
                <w:rFonts w:eastAsia="Times New Roman"/>
                <w:sz w:val="18"/>
                <w:szCs w:val="18"/>
              </w:rPr>
              <w:t>100%</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rPr>
                <w:sz w:val="18"/>
                <w:szCs w:val="18"/>
              </w:rPr>
            </w:pPr>
            <w:r>
              <w:rPr>
                <w:rFonts w:eastAsia="Times New Roman"/>
                <w:sz w:val="18"/>
                <w:szCs w:val="18"/>
              </w:rPr>
              <w:t>100%</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Número de módulos implantados</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 xml:space="preserve">Capacitar servidores do </w:t>
            </w:r>
            <w:r>
              <w:rPr>
                <w:rFonts w:eastAsia="Times New Roman"/>
                <w:i/>
                <w:sz w:val="18"/>
                <w:szCs w:val="18"/>
              </w:rPr>
              <w:t>campus</w:t>
            </w:r>
            <w:r>
              <w:rPr>
                <w:rFonts w:eastAsia="Times New Roman"/>
                <w:sz w:val="18"/>
                <w:szCs w:val="18"/>
              </w:rPr>
              <w:t xml:space="preserve"> na utilização do Sistema Integrado de Gestão</w:t>
            </w:r>
          </w:p>
        </w:tc>
      </w:tr>
      <w:tr w:rsidR="00762C45">
        <w:trPr>
          <w:trHeight w:val="838"/>
        </w:trPr>
        <w:tc>
          <w:tcPr>
            <w:tcW w:w="1895" w:type="dxa"/>
            <w:tcBorders>
              <w:top w:val="single" w:sz="4" w:space="0" w:color="000001"/>
              <w:left w:val="single" w:sz="4" w:space="0" w:color="00000A"/>
              <w:bottom w:val="single" w:sz="4" w:space="0" w:color="00000A"/>
              <w:right w:val="single" w:sz="4" w:space="0" w:color="00000A"/>
            </w:tcBorders>
            <w:shd w:val="clear" w:color="auto" w:fill="auto"/>
            <w:tcMar>
              <w:left w:w="0" w:type="dxa"/>
            </w:tcMar>
          </w:tcPr>
          <w:p w:rsidR="00762C45" w:rsidRDefault="00303B66">
            <w:pPr>
              <w:spacing w:before="60" w:after="60"/>
              <w:ind w:left="57" w:right="57" w:hanging="45"/>
              <w:jc w:val="both"/>
              <w:rPr>
                <w:sz w:val="18"/>
                <w:szCs w:val="18"/>
              </w:rPr>
            </w:pPr>
            <w:r>
              <w:rPr>
                <w:rFonts w:eastAsia="Times New Roman"/>
                <w:b/>
                <w:bCs/>
                <w:sz w:val="18"/>
                <w:szCs w:val="18"/>
              </w:rPr>
              <w:t xml:space="preserve">Objetivo 19. </w:t>
            </w:r>
            <w:r>
              <w:rPr>
                <w:rFonts w:eastAsia="Times New Roman"/>
                <w:sz w:val="18"/>
                <w:szCs w:val="18"/>
              </w:rPr>
              <w:t>Nortear o desenvolvimento do IFPA por meio do Planejamento Estratégico</w:t>
            </w: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hanging="50"/>
              <w:jc w:val="both"/>
              <w:rPr>
                <w:sz w:val="18"/>
                <w:szCs w:val="18"/>
              </w:rPr>
            </w:pPr>
            <w:r>
              <w:rPr>
                <w:rFonts w:eastAsia="Times New Roman"/>
                <w:b/>
                <w:bCs/>
                <w:sz w:val="18"/>
                <w:szCs w:val="18"/>
              </w:rPr>
              <w:t xml:space="preserve">META 1. </w:t>
            </w:r>
            <w:r>
              <w:rPr>
                <w:rFonts w:eastAsia="Times New Roman"/>
                <w:sz w:val="18"/>
                <w:szCs w:val="18"/>
              </w:rPr>
              <w:t>Acompanhar e monitorar a execução do PDC</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60%</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100%</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100%</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Percentual de execução do PDI</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 xml:space="preserve">Acompanhar e monitorar a execução do PDC do </w:t>
            </w:r>
            <w:r>
              <w:rPr>
                <w:rFonts w:eastAsia="Times New Roman"/>
                <w:i/>
                <w:sz w:val="18"/>
                <w:szCs w:val="18"/>
              </w:rPr>
              <w:t>campus</w:t>
            </w:r>
            <w:r>
              <w:rPr>
                <w:rFonts w:eastAsia="Times New Roman"/>
                <w:sz w:val="18"/>
                <w:szCs w:val="18"/>
              </w:rPr>
              <w:t xml:space="preserve"> em consonância com o PDI do IFPA</w:t>
            </w:r>
          </w:p>
        </w:tc>
      </w:tr>
      <w:tr w:rsidR="00762C45">
        <w:trPr>
          <w:trHeight w:val="765"/>
        </w:trPr>
        <w:tc>
          <w:tcPr>
            <w:tcW w:w="1895" w:type="dxa"/>
            <w:vMerge w:val="restart"/>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303B66">
            <w:pPr>
              <w:spacing w:before="60" w:after="60"/>
              <w:ind w:left="57" w:right="57" w:hanging="45"/>
              <w:jc w:val="both"/>
              <w:rPr>
                <w:rFonts w:eastAsia="Times New Roman"/>
                <w:b/>
                <w:bCs/>
                <w:sz w:val="18"/>
                <w:szCs w:val="18"/>
              </w:rPr>
            </w:pPr>
            <w:r>
              <w:rPr>
                <w:rFonts w:eastAsia="Times New Roman"/>
                <w:b/>
                <w:bCs/>
                <w:sz w:val="18"/>
                <w:szCs w:val="18"/>
              </w:rPr>
              <w:t xml:space="preserve">Objetivo 20. </w:t>
            </w:r>
            <w:r>
              <w:rPr>
                <w:rFonts w:eastAsia="Times New Roman"/>
                <w:sz w:val="18"/>
                <w:szCs w:val="18"/>
              </w:rPr>
              <w:t>Aperfeiçoar a Estrutura e Funcionamento do Sistema de Acompanhamento e Planejamento Orçamentário</w:t>
            </w: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hanging="50"/>
              <w:jc w:val="both"/>
              <w:rPr>
                <w:rFonts w:eastAsia="Times New Roman"/>
                <w:b/>
                <w:bCs/>
                <w:sz w:val="18"/>
                <w:szCs w:val="18"/>
              </w:rPr>
            </w:pPr>
            <w:r>
              <w:rPr>
                <w:rFonts w:eastAsia="Times New Roman"/>
                <w:b/>
                <w:bCs/>
                <w:sz w:val="18"/>
                <w:szCs w:val="18"/>
              </w:rPr>
              <w:t xml:space="preserve">META 1. </w:t>
            </w:r>
            <w:r>
              <w:rPr>
                <w:rFonts w:eastAsia="Times New Roman"/>
                <w:sz w:val="18"/>
                <w:szCs w:val="18"/>
              </w:rPr>
              <w:t xml:space="preserve"> Realizar Fóruns e Seminários de discussão acerca das necessidades Orçamentárias dos Campi</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5</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2</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2</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Número de eventos realizados</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 xml:space="preserve">Participar dos fóruns e seminários sobre as necessidades orçamentárias dos campi, levando as demandas do </w:t>
            </w:r>
            <w:r>
              <w:rPr>
                <w:rFonts w:eastAsia="Times New Roman"/>
                <w:i/>
                <w:sz w:val="18"/>
                <w:szCs w:val="18"/>
              </w:rPr>
              <w:t xml:space="preserve">campus </w:t>
            </w:r>
          </w:p>
        </w:tc>
      </w:tr>
      <w:tr w:rsidR="00762C45">
        <w:trPr>
          <w:trHeight w:val="765"/>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spacing w:before="60" w:after="60"/>
              <w:ind w:left="57" w:right="57" w:hanging="45"/>
              <w:jc w:val="both"/>
              <w:rPr>
                <w:sz w:val="18"/>
                <w:szCs w:val="18"/>
              </w:rPr>
            </w:pP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hanging="50"/>
              <w:jc w:val="both"/>
              <w:rPr>
                <w:sz w:val="18"/>
                <w:szCs w:val="18"/>
              </w:rPr>
            </w:pPr>
            <w:r>
              <w:rPr>
                <w:rFonts w:eastAsia="Times New Roman"/>
                <w:b/>
                <w:bCs/>
                <w:sz w:val="18"/>
                <w:szCs w:val="18"/>
              </w:rPr>
              <w:t xml:space="preserve">META 2. </w:t>
            </w:r>
            <w:r>
              <w:rPr>
                <w:rFonts w:eastAsia="Times New Roman"/>
                <w:sz w:val="18"/>
                <w:szCs w:val="18"/>
              </w:rPr>
              <w:t xml:space="preserve">Ampliar a oferta de bens e serviços, através de procedimentos licitatórios compartilhados, de modo a garantir economia e maior vantagem nos processos de contratação, bem como de tempo e pessoal, no âmbito do </w:t>
            </w:r>
            <w:r>
              <w:rPr>
                <w:rFonts w:eastAsia="Times New Roman"/>
                <w:i/>
                <w:sz w:val="18"/>
                <w:szCs w:val="18"/>
              </w:rPr>
              <w:t>campus</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_</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_</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5</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Número de licitações compartilhadas realizadas</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Participar das licitações compartilhadas promovidas pela Reitoria do IFPA</w:t>
            </w:r>
          </w:p>
        </w:tc>
      </w:tr>
      <w:tr w:rsidR="00762C45">
        <w:trPr>
          <w:trHeight w:val="703"/>
        </w:trPr>
        <w:tc>
          <w:tcPr>
            <w:tcW w:w="1895" w:type="dxa"/>
            <w:vMerge/>
            <w:tcBorders>
              <w:top w:val="single" w:sz="4" w:space="0" w:color="000001"/>
              <w:left w:val="single" w:sz="4" w:space="0" w:color="00000A"/>
              <w:bottom w:val="single" w:sz="4" w:space="0" w:color="000001"/>
              <w:right w:val="single" w:sz="4" w:space="0" w:color="00000A"/>
            </w:tcBorders>
            <w:shd w:val="clear" w:color="auto" w:fill="auto"/>
            <w:tcMar>
              <w:left w:w="0" w:type="dxa"/>
            </w:tcMar>
          </w:tcPr>
          <w:p w:rsidR="00762C45" w:rsidRDefault="00762C45">
            <w:pPr>
              <w:spacing w:before="60" w:after="60"/>
              <w:ind w:left="57" w:right="57" w:hanging="45"/>
              <w:jc w:val="both"/>
              <w:rPr>
                <w:rFonts w:eastAsia="Times New Roman"/>
                <w:sz w:val="18"/>
                <w:szCs w:val="18"/>
              </w:rPr>
            </w:pPr>
          </w:p>
        </w:tc>
        <w:tc>
          <w:tcPr>
            <w:tcW w:w="2815"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hanging="50"/>
              <w:jc w:val="both"/>
              <w:rPr>
                <w:sz w:val="18"/>
                <w:szCs w:val="18"/>
              </w:rPr>
            </w:pPr>
            <w:r>
              <w:rPr>
                <w:rFonts w:eastAsia="Times New Roman"/>
                <w:b/>
                <w:bCs/>
                <w:sz w:val="18"/>
                <w:szCs w:val="18"/>
              </w:rPr>
              <w:t xml:space="preserve">META 3. </w:t>
            </w:r>
            <w:r>
              <w:rPr>
                <w:rFonts w:eastAsia="Times New Roman"/>
                <w:sz w:val="18"/>
                <w:szCs w:val="18"/>
              </w:rPr>
              <w:t xml:space="preserve">Disseminar aquisições de bens e serviços, através de licitações sustentáveis no âmbito do </w:t>
            </w:r>
            <w:r>
              <w:rPr>
                <w:rFonts w:eastAsia="Times New Roman"/>
                <w:i/>
                <w:sz w:val="18"/>
                <w:szCs w:val="18"/>
              </w:rPr>
              <w:t>campus</w:t>
            </w:r>
          </w:p>
        </w:tc>
        <w:tc>
          <w:tcPr>
            <w:tcW w:w="62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highlight w:val="yellow"/>
              </w:rPr>
            </w:pPr>
            <w:r>
              <w:rPr>
                <w:rFonts w:eastAsia="Times New Roman"/>
                <w:sz w:val="18"/>
                <w:szCs w:val="18"/>
              </w:rPr>
              <w:t>_</w:t>
            </w:r>
          </w:p>
        </w:tc>
        <w:tc>
          <w:tcPr>
            <w:tcW w:w="743"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_</w:t>
            </w:r>
          </w:p>
        </w:tc>
        <w:tc>
          <w:tcPr>
            <w:tcW w:w="1072" w:type="dxa"/>
            <w:gridSpan w:val="2"/>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jc w:val="right"/>
              <w:rPr>
                <w:rFonts w:eastAsia="Times New Roman"/>
                <w:sz w:val="18"/>
                <w:szCs w:val="18"/>
              </w:rPr>
            </w:pPr>
            <w:r>
              <w:rPr>
                <w:rFonts w:eastAsia="Times New Roman"/>
                <w:sz w:val="18"/>
                <w:szCs w:val="18"/>
              </w:rPr>
              <w:t>80%</w:t>
            </w:r>
          </w:p>
        </w:tc>
        <w:tc>
          <w:tcPr>
            <w:tcW w:w="2266" w:type="dxa"/>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Percentual de licitações sustentáveis realizadas</w:t>
            </w:r>
          </w:p>
        </w:tc>
        <w:tc>
          <w:tcPr>
            <w:tcW w:w="5206" w:type="dxa"/>
            <w:gridSpan w:val="3"/>
            <w:tcBorders>
              <w:top w:val="single" w:sz="4" w:space="0" w:color="000001"/>
              <w:left w:val="single" w:sz="4" w:space="0" w:color="00000A"/>
              <w:bottom w:val="single" w:sz="4" w:space="0" w:color="00000A"/>
              <w:right w:val="single" w:sz="4" w:space="0" w:color="00000A"/>
            </w:tcBorders>
            <w:shd w:val="clear" w:color="auto" w:fill="auto"/>
          </w:tcPr>
          <w:p w:rsidR="00762C45" w:rsidRDefault="00303B66">
            <w:pPr>
              <w:spacing w:before="60" w:after="60"/>
              <w:ind w:left="57" w:right="57" w:firstLine="20"/>
              <w:jc w:val="both"/>
              <w:rPr>
                <w:rFonts w:eastAsia="Times New Roman"/>
                <w:sz w:val="18"/>
                <w:szCs w:val="18"/>
              </w:rPr>
            </w:pPr>
            <w:r>
              <w:rPr>
                <w:rFonts w:eastAsia="Times New Roman"/>
                <w:sz w:val="18"/>
                <w:szCs w:val="18"/>
              </w:rPr>
              <w:t>Participar de licitações sustentáveis promovidas pela Reitoria do IFPA</w:t>
            </w:r>
          </w:p>
        </w:tc>
      </w:tr>
    </w:tbl>
    <w:p w:rsidR="00762C45" w:rsidRDefault="00762C45">
      <w:pPr>
        <w:sectPr w:rsidR="00762C45">
          <w:headerReference w:type="default" r:id="rId10"/>
          <w:pgSz w:w="16838" w:h="11906" w:orient="landscape"/>
          <w:pgMar w:top="1701" w:right="1418" w:bottom="1701" w:left="1418" w:header="709" w:footer="0" w:gutter="0"/>
          <w:cols w:space="720"/>
          <w:formProt w:val="0"/>
          <w:docGrid w:linePitch="360" w:charSpace="-6145"/>
        </w:sectPr>
      </w:pPr>
    </w:p>
    <w:p w:rsidR="00762C45" w:rsidRDefault="00303B66">
      <w:pPr>
        <w:pStyle w:val="Ttulo1"/>
        <w:rPr>
          <w:sz w:val="22"/>
          <w:szCs w:val="22"/>
        </w:rPr>
      </w:pPr>
      <w:bookmarkStart w:id="11" w:name="_Toc474391162"/>
      <w:bookmarkEnd w:id="11"/>
      <w:r>
        <w:rPr>
          <w:b/>
          <w:bCs/>
          <w:sz w:val="22"/>
          <w:szCs w:val="22"/>
        </w:rPr>
        <w:lastRenderedPageBreak/>
        <w:t>2. AVALIAÇÃO INSTITUCIONAL</w:t>
      </w:r>
    </w:p>
    <w:p w:rsidR="00762C45" w:rsidRDefault="00762C45">
      <w:pPr>
        <w:widowControl/>
        <w:suppressAutoHyphens w:val="0"/>
        <w:ind w:firstLine="567"/>
        <w:jc w:val="both"/>
        <w:rPr>
          <w:rFonts w:eastAsia="Times New Roman"/>
          <w:sz w:val="22"/>
          <w:szCs w:val="22"/>
        </w:rPr>
      </w:pPr>
    </w:p>
    <w:p w:rsidR="00762C45" w:rsidRDefault="00303B66">
      <w:pPr>
        <w:widowControl/>
        <w:suppressAutoHyphens w:val="0"/>
        <w:ind w:firstLine="567"/>
        <w:jc w:val="both"/>
      </w:pPr>
      <w:r>
        <w:rPr>
          <w:rFonts w:eastAsia="Times New Roman"/>
          <w:sz w:val="22"/>
          <w:szCs w:val="22"/>
        </w:rPr>
        <w:t>A criação do Sistema Nacional de Avaliação da Educação Superior (SINAES), através da Lei n° 10.861, de 14 de abril de 2004, representou um marco na história da avaliação da educação superior brasileira. O novo sistema, que instituiu de forma integrada a avaliação das instituições, dos cursos e do desempenho dos estudantes, estabeleceu igualmente que a avaliação das instituições considerará necessariamente as 10 (dez) dimensões definidas em lei e que terá dois momentos: a autoavaliação, a ser coordenada por Comissões Próprias de Avaliação (CPAs) e a avaliação externa, a ser realizada por comissões de docentes atuantes na educação superior, devidamente cadastrados e capacitados. É importante destacar que, com a aprovação da Lei do SINAES, a avaliação da educação superior brasileira adquire, pela primeira vez, um caráter sistêmico, integrando os espaços, os momentos e os diferentes instrumentos de avaliação e de informação em torno de uma concepção global única</w:t>
      </w:r>
      <w:r>
        <w:rPr>
          <w:rStyle w:val="ncoradanotaderodap"/>
          <w:rFonts w:eastAsia="Times New Roman"/>
          <w:sz w:val="22"/>
          <w:szCs w:val="22"/>
        </w:rPr>
        <w:footnoteReference w:id="1"/>
      </w:r>
      <w:r>
        <w:rPr>
          <w:rFonts w:eastAsia="Times New Roman"/>
          <w:sz w:val="22"/>
          <w:szCs w:val="22"/>
        </w:rPr>
        <w:t xml:space="preserve"> </w:t>
      </w:r>
    </w:p>
    <w:p w:rsidR="00762C45" w:rsidRDefault="00762C45">
      <w:pPr>
        <w:tabs>
          <w:tab w:val="left" w:pos="230"/>
        </w:tabs>
        <w:jc w:val="both"/>
        <w:rPr>
          <w:color w:val="231F20"/>
          <w:sz w:val="22"/>
          <w:szCs w:val="22"/>
        </w:rPr>
      </w:pPr>
    </w:p>
    <w:p w:rsidR="00762C45" w:rsidRDefault="00303B66">
      <w:pPr>
        <w:pStyle w:val="Estilo4"/>
        <w:rPr>
          <w:b/>
        </w:rPr>
      </w:pPr>
      <w:bookmarkStart w:id="12" w:name="_Toc474391163"/>
      <w:bookmarkEnd w:id="12"/>
      <w:r>
        <w:rPr>
          <w:b/>
        </w:rPr>
        <w:t>2.1 Processo Avaliativo Interno</w:t>
      </w:r>
    </w:p>
    <w:p w:rsidR="00762C45" w:rsidRDefault="00762C45">
      <w:pPr>
        <w:widowControl/>
        <w:suppressAutoHyphens w:val="0"/>
        <w:ind w:firstLine="567"/>
        <w:jc w:val="both"/>
        <w:rPr>
          <w:rFonts w:eastAsia="Times New Roman"/>
          <w:sz w:val="22"/>
          <w:szCs w:val="22"/>
        </w:rPr>
      </w:pP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Os processos de autoavaliação do </w:t>
      </w:r>
      <w:r>
        <w:rPr>
          <w:rFonts w:eastAsia="Times New Roman"/>
          <w:i/>
          <w:sz w:val="22"/>
          <w:szCs w:val="22"/>
        </w:rPr>
        <w:t>Campus</w:t>
      </w:r>
      <w:r>
        <w:rPr>
          <w:rFonts w:eastAsia="Times New Roman"/>
          <w:sz w:val="22"/>
          <w:szCs w:val="22"/>
        </w:rPr>
        <w:t xml:space="preserve"> Avançado Vigia do IFPA são realizados com base nos princípios estabelecidos no SINAES, o qual preconiza que toda instituição de ensino superior, pública ou privada, constituirá uma Comissão Própria de Avaliação (CPA), responsável pela autoavaliação da Instituição considerando, obrigatoriamente, os cinco eixos, que são:</w:t>
      </w:r>
    </w:p>
    <w:p w:rsidR="00762C45" w:rsidRDefault="00303B66">
      <w:pPr>
        <w:widowControl/>
        <w:numPr>
          <w:ilvl w:val="0"/>
          <w:numId w:val="8"/>
        </w:numPr>
        <w:tabs>
          <w:tab w:val="left" w:pos="284"/>
        </w:tabs>
        <w:suppressAutoHyphens w:val="0"/>
        <w:ind w:left="567" w:firstLine="0"/>
        <w:jc w:val="both"/>
        <w:rPr>
          <w:rFonts w:eastAsia="Times New Roman"/>
          <w:sz w:val="22"/>
          <w:szCs w:val="22"/>
        </w:rPr>
      </w:pPr>
      <w:r>
        <w:rPr>
          <w:rFonts w:eastAsia="Times New Roman"/>
          <w:b/>
          <w:bCs/>
          <w:sz w:val="22"/>
          <w:szCs w:val="22"/>
        </w:rPr>
        <w:t>Eixo 1 - </w:t>
      </w:r>
      <w:r>
        <w:rPr>
          <w:rFonts w:eastAsia="Times New Roman"/>
          <w:sz w:val="22"/>
          <w:szCs w:val="22"/>
        </w:rPr>
        <w:t>Planejamento e Avaliação Institucional</w:t>
      </w:r>
    </w:p>
    <w:p w:rsidR="00762C45" w:rsidRDefault="00303B66">
      <w:pPr>
        <w:widowControl/>
        <w:numPr>
          <w:ilvl w:val="0"/>
          <w:numId w:val="8"/>
        </w:numPr>
        <w:tabs>
          <w:tab w:val="left" w:pos="284"/>
        </w:tabs>
        <w:suppressAutoHyphens w:val="0"/>
        <w:ind w:left="567" w:firstLine="0"/>
        <w:jc w:val="both"/>
        <w:rPr>
          <w:rFonts w:eastAsia="Times New Roman"/>
          <w:sz w:val="22"/>
          <w:szCs w:val="22"/>
        </w:rPr>
      </w:pPr>
      <w:r>
        <w:rPr>
          <w:rFonts w:eastAsia="Times New Roman"/>
          <w:b/>
          <w:bCs/>
          <w:sz w:val="22"/>
          <w:szCs w:val="22"/>
        </w:rPr>
        <w:t>Eixo 2 -</w:t>
      </w:r>
      <w:r>
        <w:rPr>
          <w:rFonts w:eastAsia="Times New Roman"/>
          <w:sz w:val="22"/>
          <w:szCs w:val="22"/>
        </w:rPr>
        <w:t> Desenvolvimento Institucional</w:t>
      </w:r>
    </w:p>
    <w:p w:rsidR="00762C45" w:rsidRDefault="00303B66">
      <w:pPr>
        <w:widowControl/>
        <w:numPr>
          <w:ilvl w:val="0"/>
          <w:numId w:val="8"/>
        </w:numPr>
        <w:tabs>
          <w:tab w:val="left" w:pos="284"/>
        </w:tabs>
        <w:suppressAutoHyphens w:val="0"/>
        <w:ind w:left="567" w:firstLine="0"/>
        <w:jc w:val="both"/>
        <w:rPr>
          <w:rFonts w:eastAsia="Times New Roman"/>
          <w:sz w:val="22"/>
          <w:szCs w:val="22"/>
        </w:rPr>
      </w:pPr>
      <w:r>
        <w:rPr>
          <w:b/>
          <w:bCs/>
          <w:sz w:val="22"/>
          <w:szCs w:val="22"/>
        </w:rPr>
        <w:t>Eixo 3 -</w:t>
      </w:r>
      <w:r>
        <w:rPr>
          <w:sz w:val="22"/>
          <w:szCs w:val="22"/>
        </w:rPr>
        <w:t> Políticas Acadêmicas</w:t>
      </w:r>
    </w:p>
    <w:p w:rsidR="00762C45" w:rsidRDefault="00303B66">
      <w:pPr>
        <w:widowControl/>
        <w:numPr>
          <w:ilvl w:val="0"/>
          <w:numId w:val="8"/>
        </w:numPr>
        <w:tabs>
          <w:tab w:val="left" w:pos="284"/>
        </w:tabs>
        <w:suppressAutoHyphens w:val="0"/>
        <w:ind w:left="567" w:firstLine="0"/>
        <w:jc w:val="both"/>
        <w:rPr>
          <w:rFonts w:eastAsia="Times New Roman"/>
          <w:sz w:val="22"/>
          <w:szCs w:val="22"/>
        </w:rPr>
      </w:pPr>
      <w:r>
        <w:rPr>
          <w:rFonts w:eastAsia="Times New Roman"/>
          <w:b/>
          <w:bCs/>
          <w:sz w:val="22"/>
          <w:szCs w:val="22"/>
        </w:rPr>
        <w:t>Eixo 4 -</w:t>
      </w:r>
      <w:r>
        <w:rPr>
          <w:rFonts w:eastAsia="Times New Roman"/>
          <w:sz w:val="22"/>
          <w:szCs w:val="22"/>
        </w:rPr>
        <w:t> Políticas de Gestão</w:t>
      </w:r>
    </w:p>
    <w:p w:rsidR="00762C45" w:rsidRDefault="00303B66">
      <w:pPr>
        <w:widowControl/>
        <w:numPr>
          <w:ilvl w:val="0"/>
          <w:numId w:val="8"/>
        </w:numPr>
        <w:tabs>
          <w:tab w:val="left" w:pos="284"/>
        </w:tabs>
        <w:suppressAutoHyphens w:val="0"/>
        <w:ind w:left="567" w:firstLine="0"/>
        <w:jc w:val="both"/>
        <w:rPr>
          <w:rFonts w:eastAsia="Times New Roman"/>
          <w:sz w:val="22"/>
          <w:szCs w:val="22"/>
        </w:rPr>
      </w:pPr>
      <w:r>
        <w:rPr>
          <w:rFonts w:eastAsia="Times New Roman"/>
          <w:b/>
          <w:bCs/>
          <w:sz w:val="22"/>
          <w:szCs w:val="22"/>
        </w:rPr>
        <w:t xml:space="preserve">Eixo 5 - </w:t>
      </w:r>
      <w:r>
        <w:rPr>
          <w:rFonts w:eastAsia="Times New Roman"/>
          <w:sz w:val="22"/>
          <w:szCs w:val="22"/>
        </w:rPr>
        <w:t>Infraestrutura</w:t>
      </w:r>
    </w:p>
    <w:p w:rsidR="00762C45" w:rsidRDefault="00762C45">
      <w:pPr>
        <w:jc w:val="both"/>
        <w:rPr>
          <w:b/>
          <w:bCs/>
          <w:sz w:val="22"/>
          <w:szCs w:val="22"/>
        </w:rPr>
      </w:pPr>
    </w:p>
    <w:p w:rsidR="00762C45" w:rsidRDefault="00303B66">
      <w:pPr>
        <w:pStyle w:val="Estilo4"/>
        <w:rPr>
          <w:b/>
        </w:rPr>
      </w:pPr>
      <w:bookmarkStart w:id="13" w:name="_Toc474391164"/>
      <w:bookmarkEnd w:id="13"/>
      <w:r>
        <w:rPr>
          <w:b/>
        </w:rPr>
        <w:t>2.2 Processo de Autoavaliação Institucional</w:t>
      </w:r>
    </w:p>
    <w:p w:rsidR="00762C45" w:rsidRDefault="00762C45">
      <w:pPr>
        <w:ind w:firstLine="567"/>
        <w:jc w:val="both"/>
        <w:rPr>
          <w:color w:val="000000"/>
          <w:sz w:val="22"/>
          <w:szCs w:val="22"/>
        </w:rPr>
      </w:pPr>
    </w:p>
    <w:p w:rsidR="00762C45" w:rsidRDefault="00303B66">
      <w:pPr>
        <w:ind w:firstLine="567"/>
        <w:jc w:val="both"/>
        <w:rPr>
          <w:color w:val="000000"/>
          <w:sz w:val="22"/>
          <w:szCs w:val="22"/>
        </w:rPr>
      </w:pPr>
      <w:r>
        <w:rPr>
          <w:color w:val="000000"/>
          <w:sz w:val="22"/>
          <w:szCs w:val="22"/>
        </w:rPr>
        <w:t>A sistemática de avaliação institucional do CAV, está em fase de implantação, através da Comissão Própria de Avaliação (CPA) local, que foi instituída em 2016 através da Portaria Nº 016 de 26/02/2016 – GAB/CAV, a qual conta com a participação dos 3 (três) segmentos da comunidade acadêmica e da sociedade civil organizada tendo a seguinte composição:</w:t>
      </w:r>
    </w:p>
    <w:p w:rsidR="00762C45" w:rsidRDefault="00303B66">
      <w:pPr>
        <w:pStyle w:val="PargrafodaLista"/>
        <w:numPr>
          <w:ilvl w:val="0"/>
          <w:numId w:val="9"/>
        </w:numPr>
        <w:tabs>
          <w:tab w:val="left" w:pos="851"/>
        </w:tabs>
        <w:spacing w:line="240" w:lineRule="auto"/>
        <w:ind w:left="0" w:firstLine="567"/>
        <w:rPr>
          <w:rFonts w:ascii="Times New Roman" w:hAnsi="Times New Roman" w:cs="Times New Roman"/>
          <w:sz w:val="22"/>
          <w:szCs w:val="22"/>
        </w:rPr>
      </w:pPr>
      <w:r>
        <w:rPr>
          <w:rFonts w:ascii="Times New Roman" w:hAnsi="Times New Roman" w:cs="Times New Roman"/>
          <w:sz w:val="22"/>
          <w:szCs w:val="22"/>
        </w:rPr>
        <w:t>Vanilda de Magalhães Martins Vasconcelos – representante dos servidores docentes;</w:t>
      </w:r>
    </w:p>
    <w:p w:rsidR="00762C45" w:rsidRDefault="00303B66">
      <w:pPr>
        <w:pStyle w:val="PargrafodaLista"/>
        <w:numPr>
          <w:ilvl w:val="0"/>
          <w:numId w:val="9"/>
        </w:numPr>
        <w:tabs>
          <w:tab w:val="left" w:pos="851"/>
        </w:tabs>
        <w:spacing w:line="240" w:lineRule="auto"/>
        <w:ind w:left="0" w:firstLine="567"/>
        <w:rPr>
          <w:rFonts w:ascii="Times New Roman" w:hAnsi="Times New Roman" w:cs="Times New Roman"/>
          <w:sz w:val="22"/>
          <w:szCs w:val="22"/>
        </w:rPr>
      </w:pPr>
      <w:r>
        <w:rPr>
          <w:rFonts w:ascii="Times New Roman" w:hAnsi="Times New Roman" w:cs="Times New Roman"/>
          <w:sz w:val="22"/>
          <w:szCs w:val="22"/>
        </w:rPr>
        <w:t>Demetrius Simonassi Resende – representante dos servidores técnico-administrativos;</w:t>
      </w:r>
    </w:p>
    <w:p w:rsidR="00762C45" w:rsidRDefault="00303B66">
      <w:pPr>
        <w:pStyle w:val="PargrafodaLista"/>
        <w:numPr>
          <w:ilvl w:val="0"/>
          <w:numId w:val="9"/>
        </w:numPr>
        <w:tabs>
          <w:tab w:val="left" w:pos="851"/>
        </w:tabs>
        <w:spacing w:line="240" w:lineRule="auto"/>
        <w:ind w:left="0" w:firstLine="567"/>
        <w:rPr>
          <w:rFonts w:ascii="Times New Roman" w:hAnsi="Times New Roman" w:cs="Times New Roman"/>
          <w:sz w:val="22"/>
          <w:szCs w:val="22"/>
        </w:rPr>
      </w:pPr>
      <w:r>
        <w:rPr>
          <w:rFonts w:ascii="Times New Roman" w:hAnsi="Times New Roman" w:cs="Times New Roman"/>
          <w:sz w:val="22"/>
          <w:szCs w:val="22"/>
        </w:rPr>
        <w:t>Aelson dos Santos Soares Júnior – representante discente e,</w:t>
      </w:r>
    </w:p>
    <w:p w:rsidR="00762C45" w:rsidRDefault="00303B66">
      <w:pPr>
        <w:pStyle w:val="PargrafodaLista"/>
        <w:numPr>
          <w:ilvl w:val="0"/>
          <w:numId w:val="9"/>
        </w:numPr>
        <w:tabs>
          <w:tab w:val="left" w:pos="851"/>
        </w:tabs>
        <w:spacing w:line="240" w:lineRule="auto"/>
        <w:ind w:left="0" w:firstLine="567"/>
        <w:rPr>
          <w:rFonts w:ascii="Times New Roman" w:hAnsi="Times New Roman" w:cs="Times New Roman"/>
          <w:sz w:val="22"/>
          <w:szCs w:val="22"/>
        </w:rPr>
      </w:pPr>
      <w:r>
        <w:rPr>
          <w:rFonts w:ascii="Times New Roman" w:hAnsi="Times New Roman" w:cs="Times New Roman"/>
          <w:sz w:val="22"/>
          <w:szCs w:val="22"/>
        </w:rPr>
        <w:t>Genival Monteiro Rabelo – representante da sociedade civil organizada</w:t>
      </w:r>
    </w:p>
    <w:p w:rsidR="00762C45" w:rsidRDefault="00303B66">
      <w:pPr>
        <w:ind w:firstLine="567"/>
        <w:jc w:val="both"/>
      </w:pPr>
      <w:r>
        <w:rPr>
          <w:color w:val="000000"/>
          <w:sz w:val="22"/>
          <w:szCs w:val="22"/>
        </w:rPr>
        <w:t xml:space="preserve"> Para o processo de autoavaliação a CPA levará em consideração:</w:t>
      </w:r>
    </w:p>
    <w:p w:rsidR="00762C45" w:rsidRDefault="00303B66">
      <w:pPr>
        <w:numPr>
          <w:ilvl w:val="0"/>
          <w:numId w:val="2"/>
        </w:numPr>
        <w:tabs>
          <w:tab w:val="left" w:pos="675"/>
        </w:tabs>
        <w:ind w:left="0" w:firstLine="567"/>
        <w:jc w:val="both"/>
      </w:pPr>
      <w:r>
        <w:rPr>
          <w:color w:val="000000"/>
          <w:sz w:val="22"/>
          <w:szCs w:val="22"/>
        </w:rPr>
        <w:t>O ensino, compreendendo as estruturas curriculares tendo em vista as diretrizes nacionais;</w:t>
      </w:r>
    </w:p>
    <w:p w:rsidR="00762C45" w:rsidRDefault="00303B66">
      <w:pPr>
        <w:numPr>
          <w:ilvl w:val="0"/>
          <w:numId w:val="2"/>
        </w:numPr>
        <w:tabs>
          <w:tab w:val="left" w:pos="675"/>
        </w:tabs>
        <w:ind w:left="0" w:firstLine="567"/>
        <w:jc w:val="both"/>
      </w:pPr>
      <w:r>
        <w:rPr>
          <w:color w:val="000000"/>
          <w:sz w:val="22"/>
          <w:szCs w:val="22"/>
        </w:rPr>
        <w:t>A pesquisa realizada;</w:t>
      </w:r>
    </w:p>
    <w:p w:rsidR="00762C45" w:rsidRDefault="00303B66">
      <w:pPr>
        <w:numPr>
          <w:ilvl w:val="0"/>
          <w:numId w:val="2"/>
        </w:numPr>
        <w:tabs>
          <w:tab w:val="left" w:pos="675"/>
        </w:tabs>
        <w:ind w:left="0" w:firstLine="567"/>
        <w:jc w:val="both"/>
      </w:pPr>
      <w:r>
        <w:rPr>
          <w:color w:val="000000"/>
          <w:sz w:val="22"/>
          <w:szCs w:val="22"/>
        </w:rPr>
        <w:t>Os projetos de extensão em consonância com as atividades de interesse social;</w:t>
      </w:r>
    </w:p>
    <w:p w:rsidR="00762C45" w:rsidRDefault="00303B66">
      <w:pPr>
        <w:numPr>
          <w:ilvl w:val="0"/>
          <w:numId w:val="2"/>
        </w:numPr>
        <w:tabs>
          <w:tab w:val="left" w:pos="675"/>
        </w:tabs>
        <w:ind w:left="0" w:firstLine="567"/>
        <w:jc w:val="both"/>
      </w:pPr>
      <w:r>
        <w:rPr>
          <w:color w:val="000000"/>
          <w:sz w:val="22"/>
          <w:szCs w:val="22"/>
        </w:rPr>
        <w:t>O sucesso escolar dos estudantes;</w:t>
      </w:r>
    </w:p>
    <w:p w:rsidR="00762C45" w:rsidRDefault="00303B66">
      <w:pPr>
        <w:numPr>
          <w:ilvl w:val="0"/>
          <w:numId w:val="2"/>
        </w:numPr>
        <w:tabs>
          <w:tab w:val="left" w:pos="675"/>
        </w:tabs>
        <w:ind w:left="0" w:firstLine="567"/>
        <w:jc w:val="both"/>
      </w:pPr>
      <w:r>
        <w:rPr>
          <w:color w:val="000000"/>
          <w:sz w:val="22"/>
          <w:szCs w:val="22"/>
        </w:rPr>
        <w:t>A qualificação dos docentes e servidores técnicos administrativos;</w:t>
      </w:r>
    </w:p>
    <w:p w:rsidR="00762C45" w:rsidRDefault="00303B66">
      <w:pPr>
        <w:numPr>
          <w:ilvl w:val="0"/>
          <w:numId w:val="2"/>
        </w:numPr>
        <w:tabs>
          <w:tab w:val="left" w:pos="675"/>
        </w:tabs>
        <w:ind w:left="0" w:firstLine="567"/>
        <w:jc w:val="both"/>
      </w:pPr>
      <w:r>
        <w:rPr>
          <w:color w:val="000000"/>
          <w:sz w:val="22"/>
          <w:szCs w:val="22"/>
        </w:rPr>
        <w:t>A organização e gestão da Instituição;</w:t>
      </w:r>
    </w:p>
    <w:p w:rsidR="00762C45" w:rsidRDefault="00303B66">
      <w:pPr>
        <w:numPr>
          <w:ilvl w:val="0"/>
          <w:numId w:val="2"/>
        </w:numPr>
        <w:tabs>
          <w:tab w:val="left" w:pos="675"/>
        </w:tabs>
        <w:ind w:left="0" w:firstLine="567"/>
        <w:jc w:val="both"/>
      </w:pPr>
      <w:r>
        <w:rPr>
          <w:color w:val="000000"/>
          <w:sz w:val="22"/>
          <w:szCs w:val="22"/>
        </w:rPr>
        <w:t>As condições físicas e recursos didáticos;</w:t>
      </w:r>
    </w:p>
    <w:p w:rsidR="00762C45" w:rsidRDefault="00303B66">
      <w:pPr>
        <w:numPr>
          <w:ilvl w:val="0"/>
          <w:numId w:val="2"/>
        </w:numPr>
        <w:tabs>
          <w:tab w:val="left" w:pos="675"/>
        </w:tabs>
        <w:ind w:left="0" w:firstLine="567"/>
        <w:jc w:val="both"/>
      </w:pPr>
      <w:r>
        <w:rPr>
          <w:color w:val="000000"/>
          <w:sz w:val="22"/>
          <w:szCs w:val="22"/>
        </w:rPr>
        <w:t>A atuação profissional dos docentes e servidores técnicos administrativos e,</w:t>
      </w:r>
    </w:p>
    <w:p w:rsidR="00762C45" w:rsidRDefault="00303B66">
      <w:pPr>
        <w:numPr>
          <w:ilvl w:val="0"/>
          <w:numId w:val="2"/>
        </w:numPr>
        <w:tabs>
          <w:tab w:val="left" w:pos="675"/>
        </w:tabs>
        <w:ind w:left="0" w:firstLine="567"/>
        <w:jc w:val="both"/>
      </w:pPr>
      <w:r>
        <w:rPr>
          <w:color w:val="000000"/>
          <w:sz w:val="22"/>
          <w:szCs w:val="22"/>
        </w:rPr>
        <w:t xml:space="preserve">O acervo bibliográfico. </w:t>
      </w:r>
    </w:p>
    <w:p w:rsidR="00762C45" w:rsidRDefault="00762C45">
      <w:pPr>
        <w:tabs>
          <w:tab w:val="left" w:pos="675"/>
        </w:tabs>
        <w:jc w:val="both"/>
      </w:pPr>
    </w:p>
    <w:p w:rsidR="00762C45" w:rsidRDefault="00303B66">
      <w:pPr>
        <w:pStyle w:val="Estilo3"/>
      </w:pPr>
      <w:bookmarkStart w:id="14" w:name="_Toc474391165"/>
      <w:bookmarkEnd w:id="14"/>
      <w:r>
        <w:lastRenderedPageBreak/>
        <w:t>2.2.1 Definição de finalidades e objetivos da avaliação</w:t>
      </w:r>
    </w:p>
    <w:p w:rsidR="00762C45" w:rsidRDefault="00762C45">
      <w:pPr>
        <w:widowControl/>
        <w:suppressAutoHyphens w:val="0"/>
        <w:ind w:firstLine="567"/>
        <w:jc w:val="both"/>
        <w:rPr>
          <w:rFonts w:eastAsia="Times New Roman"/>
          <w:sz w:val="22"/>
          <w:szCs w:val="22"/>
        </w:rPr>
      </w:pPr>
    </w:p>
    <w:p w:rsidR="00762C45" w:rsidRDefault="00303B66">
      <w:pPr>
        <w:widowControl/>
        <w:suppressAutoHyphens w:val="0"/>
        <w:ind w:firstLine="567"/>
        <w:jc w:val="both"/>
        <w:rPr>
          <w:rFonts w:eastAsia="Times New Roman"/>
          <w:sz w:val="22"/>
          <w:szCs w:val="22"/>
        </w:rPr>
      </w:pPr>
      <w:r>
        <w:rPr>
          <w:rFonts w:eastAsia="Times New Roman"/>
          <w:sz w:val="22"/>
          <w:szCs w:val="22"/>
        </w:rPr>
        <w:t>De acordo com o SINEAS, essa avaliação tem por finalidades a melhoria da qualidade da educação, a orientação da expansão da sua oferta, o aumento permanente da sua eficácia institucional e efetividade acadêmica e social e, especialmente, a promoção do aprofundamento dos compromissos e responsabilidades sociais das instituições de educação, por meio da valorização de sua missão pública, da promoção dos valores democráticos, do respeito à diferença e à diversidade, da afirmação da autonomia e da identidade institucional.</w:t>
      </w: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O objetivo da autoavaliação é identificar as condições do ensino, da pesquisa, da extensão e da gestão, suas potencialidades e fragilidades, ou seja, identificar o seu perfil e o significado de sua atuação, por meio de suas atividades, cursos, programas, projetos e setores, considerando as diferentes dimensões institucionais. </w:t>
      </w: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Os resultados do processo de autoavaliação, consolidados em um relatório, representam importante subsídio para que o </w:t>
      </w:r>
      <w:r>
        <w:rPr>
          <w:rFonts w:eastAsia="Times New Roman"/>
          <w:i/>
          <w:sz w:val="20"/>
          <w:szCs w:val="20"/>
        </w:rPr>
        <w:t>campus</w:t>
      </w:r>
      <w:r>
        <w:rPr>
          <w:rFonts w:eastAsia="Times New Roman"/>
          <w:sz w:val="22"/>
          <w:szCs w:val="22"/>
        </w:rPr>
        <w:t xml:space="preserve"> execute ações para corrigir as fragilidades e manter as potencialidades identificadas, com vistas à melhoria da sua qualidade.</w:t>
      </w:r>
    </w:p>
    <w:p w:rsidR="00762C45" w:rsidRDefault="00303B66">
      <w:pPr>
        <w:ind w:firstLine="567"/>
        <w:jc w:val="both"/>
        <w:rPr>
          <w:rFonts w:eastAsia="Times New Roman"/>
          <w:sz w:val="22"/>
          <w:szCs w:val="22"/>
        </w:rPr>
      </w:pPr>
      <w:r>
        <w:rPr>
          <w:color w:val="231F20"/>
          <w:sz w:val="22"/>
          <w:szCs w:val="22"/>
        </w:rPr>
        <w:t xml:space="preserve">Ao se considerar todas as dimensões dos aspectos organizacionais da Instituição, </w:t>
      </w:r>
      <w:r>
        <w:rPr>
          <w:sz w:val="22"/>
          <w:szCs w:val="22"/>
        </w:rPr>
        <w:t xml:space="preserve">estrutura física, administrativa e social, </w:t>
      </w:r>
      <w:r>
        <w:rPr>
          <w:color w:val="231F20"/>
          <w:sz w:val="22"/>
          <w:szCs w:val="22"/>
        </w:rPr>
        <w:t xml:space="preserve">o </w:t>
      </w:r>
      <w:r>
        <w:rPr>
          <w:rFonts w:eastAsia="Times New Roman"/>
          <w:i/>
          <w:sz w:val="20"/>
          <w:szCs w:val="20"/>
        </w:rPr>
        <w:t>campus</w:t>
      </w:r>
      <w:r>
        <w:rPr>
          <w:color w:val="231F20"/>
          <w:sz w:val="22"/>
          <w:szCs w:val="22"/>
        </w:rPr>
        <w:t xml:space="preserve"> tem na participação da comunidade acadêmica, o eixo norteador da avaliação institucional. Dessa forma, a avaliação institucional participativa se configura como meta para o alcance da melhoria da qualidade educacional.</w:t>
      </w:r>
      <w:r>
        <w:rPr>
          <w:sz w:val="22"/>
          <w:szCs w:val="22"/>
        </w:rPr>
        <w:t xml:space="preserve"> </w:t>
      </w:r>
    </w:p>
    <w:p w:rsidR="00762C45" w:rsidRDefault="00303B66">
      <w:pPr>
        <w:widowControl/>
        <w:suppressAutoHyphens w:val="0"/>
        <w:ind w:firstLine="720"/>
        <w:jc w:val="both"/>
        <w:rPr>
          <w:rFonts w:eastAsia="Times New Roman"/>
          <w:sz w:val="22"/>
          <w:szCs w:val="22"/>
        </w:rPr>
      </w:pPr>
      <w:r>
        <w:rPr>
          <w:rFonts w:eastAsia="Times New Roman"/>
          <w:sz w:val="22"/>
          <w:szCs w:val="22"/>
        </w:rPr>
        <w:t xml:space="preserve">Portanto, o Processo de Avaliação Institucional do </w:t>
      </w:r>
      <w:r>
        <w:rPr>
          <w:rFonts w:eastAsia="Times New Roman"/>
          <w:sz w:val="20"/>
          <w:szCs w:val="20"/>
        </w:rPr>
        <w:t>CAV</w:t>
      </w:r>
      <w:r>
        <w:rPr>
          <w:rFonts w:eastAsia="Times New Roman"/>
          <w:sz w:val="22"/>
          <w:szCs w:val="22"/>
        </w:rPr>
        <w:t xml:space="preserve"> tem a finalidade de acompanhar as ações planejadas no triênio de 2016 a 2018 e objetiva a análise do desempenho global para alcançar as metas traçadas pelo </w:t>
      </w:r>
      <w:r>
        <w:rPr>
          <w:rFonts w:eastAsia="Times New Roman"/>
          <w:i/>
          <w:sz w:val="22"/>
          <w:szCs w:val="22"/>
        </w:rPr>
        <w:t>campus</w:t>
      </w:r>
      <w:r>
        <w:rPr>
          <w:rFonts w:eastAsia="Times New Roman"/>
          <w:sz w:val="22"/>
          <w:szCs w:val="22"/>
        </w:rPr>
        <w:t>, considerando principalmente o contexto socioeconômico e cultural no qual está inserido, sabendo-se que é um processo sistêmico em busca da excelência institucional.</w:t>
      </w:r>
    </w:p>
    <w:p w:rsidR="00762C45" w:rsidRDefault="00762C45">
      <w:pPr>
        <w:ind w:firstLine="567"/>
        <w:jc w:val="both"/>
      </w:pPr>
    </w:p>
    <w:p w:rsidR="00762C45" w:rsidRDefault="00303B66">
      <w:pPr>
        <w:pStyle w:val="Estilo3"/>
        <w:jc w:val="both"/>
      </w:pPr>
      <w:bookmarkStart w:id="15" w:name="_Toc474391166"/>
      <w:bookmarkEnd w:id="15"/>
      <w:r>
        <w:t>2.2.2 Formas de integração da avaliação interna, avaliação de cursos, avaliação de desempenho de estudantes e avaliação externa</w:t>
      </w:r>
    </w:p>
    <w:p w:rsidR="00762C45" w:rsidRDefault="00762C45">
      <w:pPr>
        <w:jc w:val="both"/>
        <w:rPr>
          <w:b/>
          <w:sz w:val="22"/>
          <w:szCs w:val="22"/>
        </w:rPr>
      </w:pP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Os princípios que regem a avaliação proposta pelo SINAES são: </w:t>
      </w:r>
    </w:p>
    <w:p w:rsidR="00762C45" w:rsidRDefault="00303B66">
      <w:pPr>
        <w:pStyle w:val="PargrafodaLista"/>
        <w:numPr>
          <w:ilvl w:val="1"/>
          <w:numId w:val="11"/>
        </w:numPr>
        <w:tabs>
          <w:tab w:val="left" w:pos="165"/>
          <w:tab w:val="left" w:pos="570"/>
        </w:tabs>
        <w:suppressAutoHyphens w:val="0"/>
        <w:spacing w:line="240" w:lineRule="auto"/>
        <w:ind w:left="0" w:firstLine="0"/>
        <w:rPr>
          <w:rFonts w:ascii="Times New Roman" w:hAnsi="Times New Roman" w:cs="Times New Roman"/>
          <w:sz w:val="22"/>
          <w:szCs w:val="22"/>
        </w:rPr>
      </w:pPr>
      <w:r>
        <w:rPr>
          <w:rFonts w:ascii="Times New Roman" w:hAnsi="Times New Roman" w:cs="Times New Roman"/>
          <w:sz w:val="22"/>
          <w:szCs w:val="22"/>
        </w:rPr>
        <w:t xml:space="preserve">Responsabilidade social com a qualidade da educação superior; </w:t>
      </w:r>
    </w:p>
    <w:p w:rsidR="00762C45" w:rsidRDefault="00303B66">
      <w:pPr>
        <w:pStyle w:val="PargrafodaLista"/>
        <w:numPr>
          <w:ilvl w:val="1"/>
          <w:numId w:val="11"/>
        </w:numPr>
        <w:tabs>
          <w:tab w:val="left" w:pos="165"/>
          <w:tab w:val="left" w:pos="570"/>
        </w:tabs>
        <w:suppressAutoHyphens w:val="0"/>
        <w:spacing w:line="240" w:lineRule="auto"/>
        <w:ind w:left="0" w:firstLine="0"/>
        <w:rPr>
          <w:rFonts w:ascii="Times New Roman" w:hAnsi="Times New Roman" w:cs="Times New Roman"/>
          <w:sz w:val="22"/>
          <w:szCs w:val="22"/>
        </w:rPr>
      </w:pPr>
      <w:r>
        <w:rPr>
          <w:rFonts w:ascii="Times New Roman" w:hAnsi="Times New Roman" w:cs="Times New Roman"/>
          <w:sz w:val="22"/>
          <w:szCs w:val="22"/>
        </w:rPr>
        <w:t xml:space="preserve">Reconhecimento à diversidade do sistema; </w:t>
      </w:r>
    </w:p>
    <w:p w:rsidR="00762C45" w:rsidRDefault="00303B66">
      <w:pPr>
        <w:pStyle w:val="PargrafodaLista"/>
        <w:numPr>
          <w:ilvl w:val="1"/>
          <w:numId w:val="11"/>
        </w:numPr>
        <w:tabs>
          <w:tab w:val="left" w:pos="165"/>
          <w:tab w:val="left" w:pos="570"/>
        </w:tabs>
        <w:suppressAutoHyphens w:val="0"/>
        <w:spacing w:line="240" w:lineRule="auto"/>
        <w:ind w:left="0" w:firstLine="0"/>
        <w:rPr>
          <w:rFonts w:ascii="Times New Roman" w:hAnsi="Times New Roman" w:cs="Times New Roman"/>
          <w:sz w:val="22"/>
          <w:szCs w:val="22"/>
        </w:rPr>
      </w:pPr>
      <w:r>
        <w:rPr>
          <w:rFonts w:ascii="Times New Roman" w:hAnsi="Times New Roman" w:cs="Times New Roman"/>
          <w:sz w:val="22"/>
          <w:szCs w:val="22"/>
        </w:rPr>
        <w:t xml:space="preserve">Respeito à identidade, à missão e à história das instituições; </w:t>
      </w:r>
    </w:p>
    <w:p w:rsidR="00762C45" w:rsidRDefault="00303B66">
      <w:pPr>
        <w:pStyle w:val="PargrafodaLista"/>
        <w:numPr>
          <w:ilvl w:val="1"/>
          <w:numId w:val="11"/>
        </w:numPr>
        <w:tabs>
          <w:tab w:val="left" w:pos="165"/>
          <w:tab w:val="left" w:pos="570"/>
        </w:tabs>
        <w:suppressAutoHyphens w:val="0"/>
        <w:spacing w:line="240" w:lineRule="auto"/>
        <w:ind w:left="0" w:firstLine="0"/>
        <w:rPr>
          <w:rFonts w:ascii="Times New Roman" w:hAnsi="Times New Roman" w:cs="Times New Roman"/>
          <w:sz w:val="22"/>
          <w:szCs w:val="22"/>
        </w:rPr>
      </w:pPr>
      <w:r>
        <w:rPr>
          <w:rFonts w:ascii="Times New Roman" w:hAnsi="Times New Roman" w:cs="Times New Roman"/>
          <w:sz w:val="22"/>
          <w:szCs w:val="22"/>
        </w:rPr>
        <w:t xml:space="preserve">Globalidade institucional, pela utilização de um conjunto significativo de indicadores considerados em sua relação orgânica; </w:t>
      </w:r>
    </w:p>
    <w:p w:rsidR="00762C45" w:rsidRDefault="00303B66">
      <w:pPr>
        <w:pStyle w:val="PargrafodaLista"/>
        <w:numPr>
          <w:ilvl w:val="1"/>
          <w:numId w:val="11"/>
        </w:numPr>
        <w:tabs>
          <w:tab w:val="left" w:pos="165"/>
          <w:tab w:val="left" w:pos="570"/>
        </w:tabs>
        <w:suppressAutoHyphens w:val="0"/>
        <w:spacing w:line="240" w:lineRule="auto"/>
        <w:ind w:left="0" w:firstLine="0"/>
        <w:rPr>
          <w:rFonts w:ascii="Times New Roman" w:hAnsi="Times New Roman" w:cs="Times New Roman"/>
          <w:sz w:val="22"/>
          <w:szCs w:val="22"/>
        </w:rPr>
      </w:pPr>
      <w:r>
        <w:rPr>
          <w:rFonts w:ascii="Times New Roman" w:hAnsi="Times New Roman" w:cs="Times New Roman"/>
          <w:sz w:val="22"/>
          <w:szCs w:val="22"/>
        </w:rPr>
        <w:t xml:space="preserve">Continuidade do processo avaliativo como instrumento de política educacional para cada instituição e para o sistema da educação superior em seu conjunto. </w:t>
      </w:r>
    </w:p>
    <w:p w:rsidR="00762C45" w:rsidRDefault="00303B66">
      <w:pPr>
        <w:suppressAutoHyphens w:val="0"/>
        <w:ind w:firstLine="567"/>
        <w:jc w:val="both"/>
        <w:rPr>
          <w:sz w:val="22"/>
          <w:szCs w:val="22"/>
        </w:rPr>
      </w:pPr>
      <w:r>
        <w:rPr>
          <w:sz w:val="22"/>
          <w:szCs w:val="22"/>
        </w:rPr>
        <w:t>A proposta do SINAES, coerente com as tendências encontradas em países com sistemas de avaliação consolidados, é comprometida com a transparência dos processos avaliativos cientificamente embasados e fundamentada nas diretrizes gerais estabelecidas na legislação. Desta forma, a sistemática dessa avaliação do SINAES é construída com base em 3 (três) processos:</w:t>
      </w:r>
    </w:p>
    <w:p w:rsidR="00762C45" w:rsidRDefault="00303B66">
      <w:pPr>
        <w:pStyle w:val="PargrafodaLista"/>
        <w:numPr>
          <w:ilvl w:val="0"/>
          <w:numId w:val="12"/>
        </w:numPr>
        <w:tabs>
          <w:tab w:val="left" w:pos="120"/>
        </w:tabs>
        <w:suppressAutoHyphens w:val="0"/>
        <w:spacing w:line="240" w:lineRule="auto"/>
        <w:ind w:left="0" w:hanging="11"/>
        <w:rPr>
          <w:rFonts w:ascii="Times New Roman" w:hAnsi="Times New Roman" w:cs="Times New Roman"/>
          <w:sz w:val="22"/>
          <w:szCs w:val="22"/>
        </w:rPr>
      </w:pPr>
      <w:r>
        <w:rPr>
          <w:rFonts w:ascii="Times New Roman" w:hAnsi="Times New Roman" w:cs="Times New Roman"/>
          <w:sz w:val="22"/>
          <w:szCs w:val="22"/>
        </w:rPr>
        <w:t xml:space="preserve">Avaliação da Instituição (Autoavaliação e Avaliação Externa); </w:t>
      </w:r>
    </w:p>
    <w:p w:rsidR="00762C45" w:rsidRDefault="00303B66">
      <w:pPr>
        <w:pStyle w:val="PargrafodaLista"/>
        <w:numPr>
          <w:ilvl w:val="0"/>
          <w:numId w:val="12"/>
        </w:numPr>
        <w:tabs>
          <w:tab w:val="left" w:pos="120"/>
        </w:tabs>
        <w:suppressAutoHyphens w:val="0"/>
        <w:spacing w:line="240" w:lineRule="auto"/>
        <w:ind w:left="0" w:hanging="11"/>
        <w:rPr>
          <w:rFonts w:ascii="Times New Roman" w:hAnsi="Times New Roman" w:cs="Times New Roman"/>
          <w:sz w:val="22"/>
          <w:szCs w:val="22"/>
        </w:rPr>
      </w:pPr>
      <w:r>
        <w:rPr>
          <w:rFonts w:ascii="Times New Roman" w:hAnsi="Times New Roman" w:cs="Times New Roman"/>
          <w:sz w:val="22"/>
          <w:szCs w:val="22"/>
        </w:rPr>
        <w:t xml:space="preserve">Avaliação do Desempenho dos Estudantes (ENADE); </w:t>
      </w:r>
    </w:p>
    <w:p w:rsidR="00762C45" w:rsidRDefault="00303B66">
      <w:pPr>
        <w:pStyle w:val="PargrafodaLista"/>
        <w:numPr>
          <w:ilvl w:val="0"/>
          <w:numId w:val="12"/>
        </w:numPr>
        <w:tabs>
          <w:tab w:val="left" w:pos="120"/>
        </w:tabs>
        <w:suppressAutoHyphens w:val="0"/>
        <w:spacing w:line="240" w:lineRule="auto"/>
        <w:ind w:left="0" w:hanging="11"/>
        <w:rPr>
          <w:rFonts w:ascii="Times New Roman" w:hAnsi="Times New Roman" w:cs="Times New Roman"/>
          <w:sz w:val="22"/>
          <w:szCs w:val="22"/>
        </w:rPr>
      </w:pPr>
      <w:r>
        <w:rPr>
          <w:rFonts w:ascii="Times New Roman" w:hAnsi="Times New Roman" w:cs="Times New Roman"/>
          <w:sz w:val="22"/>
          <w:szCs w:val="22"/>
        </w:rPr>
        <w:t xml:space="preserve">Avaliação dos Cursos de Graduação. </w:t>
      </w:r>
    </w:p>
    <w:p w:rsidR="00762C45" w:rsidRDefault="00303B66">
      <w:pPr>
        <w:widowControl/>
        <w:suppressAutoHyphens w:val="0"/>
        <w:ind w:firstLine="567"/>
        <w:jc w:val="both"/>
      </w:pPr>
      <w:r>
        <w:rPr>
          <w:rFonts w:eastAsia="Times New Roman"/>
          <w:sz w:val="22"/>
          <w:szCs w:val="22"/>
        </w:rPr>
        <w:t xml:space="preserve">Estes processos, na perspectiva de constituírem um sistema, estão ligados e articulados entre si. Buscam captar indicadores de qualidade em distintos níveis e enfoques, cujos resultados serão analisados de modo sistemático e integrado, oferecendo elementos fundamentais para a avaliação das instituições e do sistema de educação. </w:t>
      </w:r>
    </w:p>
    <w:p w:rsidR="00762C45" w:rsidRDefault="00303B66">
      <w:pPr>
        <w:ind w:firstLine="567"/>
        <w:jc w:val="both"/>
        <w:rPr>
          <w:sz w:val="22"/>
          <w:szCs w:val="22"/>
        </w:rPr>
      </w:pPr>
      <w:r>
        <w:rPr>
          <w:sz w:val="22"/>
          <w:szCs w:val="22"/>
        </w:rPr>
        <w:t>Será feita uma divulgação geral dos resultados através de uma audiência interna, com todas as diretorias, setores, coordenações e representações (alunos e pais) para conhecimento e sugestão de melhorias e redirecionamento das ações e estratégias desenvolvidas no período, através de um plano de melhorias, que deverá ser considerada na revisão do PDC, que deverá ter vigência quadrienal.</w:t>
      </w:r>
    </w:p>
    <w:p w:rsidR="00762C45" w:rsidRDefault="00762C45">
      <w:pPr>
        <w:jc w:val="both"/>
        <w:rPr>
          <w:b/>
          <w:sz w:val="22"/>
          <w:szCs w:val="22"/>
        </w:rPr>
      </w:pPr>
    </w:p>
    <w:p w:rsidR="00762C45" w:rsidRDefault="00303B66">
      <w:pPr>
        <w:pStyle w:val="Estilo3"/>
      </w:pPr>
      <w:bookmarkStart w:id="16" w:name="_Toc474391167"/>
      <w:bookmarkEnd w:id="16"/>
      <w:r>
        <w:lastRenderedPageBreak/>
        <w:t>2.2.3 Tipos de Instrumentos utilizados para coleta de dados</w:t>
      </w:r>
    </w:p>
    <w:p w:rsidR="00762C45" w:rsidRDefault="00762C45">
      <w:pPr>
        <w:widowControl/>
        <w:suppressAutoHyphens w:val="0"/>
        <w:ind w:firstLine="567"/>
        <w:jc w:val="both"/>
        <w:rPr>
          <w:rFonts w:eastAsia="Times New Roman"/>
          <w:sz w:val="22"/>
          <w:szCs w:val="22"/>
        </w:rPr>
      </w:pPr>
    </w:p>
    <w:p w:rsidR="00762C45" w:rsidRDefault="00303B66">
      <w:pPr>
        <w:widowControl/>
        <w:suppressAutoHyphens w:val="0"/>
        <w:ind w:firstLine="567"/>
        <w:jc w:val="both"/>
        <w:rPr>
          <w:rFonts w:eastAsia="Times New Roman"/>
          <w:sz w:val="22"/>
          <w:szCs w:val="22"/>
        </w:rPr>
      </w:pPr>
      <w:r>
        <w:rPr>
          <w:rFonts w:eastAsia="Times New Roman"/>
          <w:sz w:val="22"/>
          <w:szCs w:val="22"/>
        </w:rPr>
        <w:t>Segundo BARBOSA, E.F. (2016)</w:t>
      </w:r>
      <w:r>
        <w:rPr>
          <w:rStyle w:val="ncoradanotaderodap"/>
          <w:rFonts w:eastAsia="Times New Roman"/>
          <w:sz w:val="22"/>
          <w:szCs w:val="22"/>
        </w:rPr>
        <w:footnoteReference w:id="2"/>
      </w:r>
      <w:r>
        <w:rPr>
          <w:rFonts w:eastAsia="Times New Roman"/>
          <w:sz w:val="22"/>
          <w:szCs w:val="22"/>
        </w:rPr>
        <w:t>, no seu texto</w:t>
      </w:r>
      <w:r>
        <w:rPr>
          <w:rFonts w:eastAsia="Times New Roman"/>
          <w:b/>
          <w:sz w:val="22"/>
          <w:szCs w:val="22"/>
        </w:rPr>
        <w:t xml:space="preserve"> “Instrumentos de coleta de dados em pesquisas educacionais”</w:t>
      </w:r>
      <w:r>
        <w:rPr>
          <w:rFonts w:eastAsia="Times New Roman"/>
          <w:sz w:val="22"/>
          <w:szCs w:val="22"/>
        </w:rPr>
        <w:t>, tradicionalmente existem 5 (cinco) técnicas empregadas com frequência para coleta de dados e informação qualitativa: (i) questionários; (ii) entrevistas;(iii) observação direta;(iv) registros institucionais e (v) grupos focais.</w:t>
      </w: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Também chamados de survey (pesquisa ampla), </w:t>
      </w:r>
      <w:r>
        <w:rPr>
          <w:rFonts w:eastAsia="Times New Roman"/>
          <w:b/>
          <w:sz w:val="22"/>
          <w:szCs w:val="22"/>
        </w:rPr>
        <w:t>o questionário</w:t>
      </w:r>
      <w:r>
        <w:rPr>
          <w:rFonts w:eastAsia="Times New Roman"/>
          <w:sz w:val="22"/>
          <w:szCs w:val="22"/>
        </w:rPr>
        <w:t xml:space="preserve"> é um dos procedimentos mais utilizados para obter informações. É uma técnica de custo razoável, apresenta as mesmas questões para todas as pessoas, garante o anonimato e pode conter questões para atender a finalidades específicas de uma pesquisa. Aplicada criteriosamente, esta técnica apresenta elevada confiabilidade.</w:t>
      </w:r>
    </w:p>
    <w:p w:rsidR="00762C45" w:rsidRDefault="00303B66">
      <w:pPr>
        <w:widowControl/>
        <w:suppressAutoHyphens w:val="0"/>
        <w:ind w:firstLine="567"/>
        <w:jc w:val="both"/>
        <w:rPr>
          <w:rFonts w:eastAsia="Times New Roman"/>
          <w:sz w:val="22"/>
          <w:szCs w:val="22"/>
        </w:rPr>
      </w:pPr>
      <w:r>
        <w:rPr>
          <w:rFonts w:eastAsia="Times New Roman"/>
          <w:b/>
          <w:sz w:val="22"/>
          <w:szCs w:val="22"/>
        </w:rPr>
        <w:t>A</w:t>
      </w:r>
      <w:r>
        <w:rPr>
          <w:rFonts w:eastAsia="Times New Roman"/>
          <w:sz w:val="22"/>
          <w:szCs w:val="22"/>
        </w:rPr>
        <w:t xml:space="preserve"> </w:t>
      </w:r>
      <w:r>
        <w:rPr>
          <w:rFonts w:eastAsia="Times New Roman"/>
          <w:b/>
          <w:sz w:val="22"/>
          <w:szCs w:val="22"/>
        </w:rPr>
        <w:t>entrevista</w:t>
      </w:r>
      <w:r>
        <w:rPr>
          <w:rFonts w:eastAsia="Times New Roman"/>
          <w:sz w:val="22"/>
          <w:szCs w:val="22"/>
        </w:rPr>
        <w:t xml:space="preserve"> é um método flexível de obtenção de informações qualitativas. Requer um bom planejamento prévio e habilidade do entrevistador para seguir um roteiro de questionário, com possibilidades de introduzir variações que se fizerem necessárias durante sua aplicação. Em geral, a aplicação de uma entrevista requer um tempo maior do que o de respostas a questionários. Por isso seu custo pode ser elevado, se o número de pessoas a serem entrevistadas for muito grande. Em contrapartida, a entrevista pode fornecer uma quantidade de informações muito maior do que o questionário. Um dos requisitos para aplicação desta técnica é que o entrevistador possua as habilidades para conduzir o processo. Boas questões e um entrevistador sem habilidades, não fazem uma boa entrevista</w:t>
      </w:r>
    </w:p>
    <w:p w:rsidR="00762C45" w:rsidRDefault="00303B66">
      <w:pPr>
        <w:widowControl/>
        <w:suppressAutoHyphens w:val="0"/>
        <w:ind w:firstLine="567"/>
        <w:jc w:val="both"/>
        <w:rPr>
          <w:rFonts w:eastAsia="Times New Roman"/>
          <w:sz w:val="22"/>
          <w:szCs w:val="22"/>
        </w:rPr>
      </w:pPr>
      <w:r>
        <w:rPr>
          <w:rFonts w:eastAsia="Times New Roman"/>
          <w:b/>
          <w:sz w:val="22"/>
          <w:szCs w:val="22"/>
        </w:rPr>
        <w:t>Na</w:t>
      </w:r>
      <w:r>
        <w:rPr>
          <w:rFonts w:eastAsia="Times New Roman"/>
          <w:sz w:val="22"/>
          <w:szCs w:val="22"/>
        </w:rPr>
        <w:t xml:space="preserve"> </w:t>
      </w:r>
      <w:r>
        <w:rPr>
          <w:rFonts w:eastAsia="Times New Roman"/>
          <w:b/>
          <w:sz w:val="22"/>
          <w:szCs w:val="22"/>
        </w:rPr>
        <w:t>observação direta</w:t>
      </w:r>
      <w:r>
        <w:rPr>
          <w:rFonts w:eastAsia="Times New Roman"/>
          <w:sz w:val="22"/>
          <w:szCs w:val="22"/>
        </w:rPr>
        <w:t xml:space="preserve">, a coleta de dados baseia-se na atuação de observadores treinados para obter determinados tipos de informações sobre resultados, processos, impactos, etc. Requer um sistema de pontuação muito bem preparado e definido, treinamento adequado dos observadores, supervisão durante aplicação e procedimentos de verificação periódica para determinar a qualidade das medidas realizadas. Observações realizadas em fases iniciais de um projeto ou mesmo antes de seu início podem ser de caráter não estruturada, ou seja, realizadas de maneira informal. </w:t>
      </w: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Por sua vez para se utilizar </w:t>
      </w:r>
      <w:r>
        <w:rPr>
          <w:rFonts w:eastAsia="Times New Roman"/>
          <w:b/>
          <w:sz w:val="22"/>
          <w:szCs w:val="22"/>
        </w:rPr>
        <w:t>os Registros Institucionais (ou Análise Documental)</w:t>
      </w:r>
      <w:r>
        <w:rPr>
          <w:rFonts w:eastAsia="Times New Roman"/>
          <w:sz w:val="22"/>
          <w:szCs w:val="22"/>
        </w:rPr>
        <w:t xml:space="preserve"> requer a existência de registros na própria organização, sob a forma de documentos, fichas, relatórios ou arquivos em computador. O uso de registros e documentos já disponíveis reduz tempo e custo de pesquisas para avaliação. Além disto, esta informação é estável e não depende de uma forma específica para ser coletada. Deve ser observado que, na maioria das vezes, já existe uma grande quantidade de informação nas organizações e cujo uso para fins de avaliação tem sido muito pouco efetivo. </w:t>
      </w: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Finalmente </w:t>
      </w:r>
      <w:r>
        <w:rPr>
          <w:rFonts w:eastAsia="Times New Roman"/>
          <w:b/>
          <w:sz w:val="22"/>
          <w:szCs w:val="22"/>
        </w:rPr>
        <w:t>um grupo focal (GF)</w:t>
      </w:r>
      <w:r>
        <w:rPr>
          <w:rFonts w:eastAsia="Times New Roman"/>
          <w:sz w:val="22"/>
          <w:szCs w:val="22"/>
        </w:rPr>
        <w:t xml:space="preserve"> é um grupo de discussão informal e de tamanho reduzido (até 12 pessoas), com o propósito de obter informação qualitativa em profundidade. As pessoas são convidadas para participar da discussão sobre determinado assunto. Normalmente, os participantes possuem alguma característica em comum. Por exemplo: compartilham das mesmas características demográficas tais como nível de escolaridade, condição social, ou são todos funcionários do mesmo setor do serviço público. </w:t>
      </w:r>
    </w:p>
    <w:p w:rsidR="00762C45" w:rsidRDefault="00303B66">
      <w:pPr>
        <w:widowControl/>
        <w:suppressAutoHyphens w:val="0"/>
        <w:ind w:firstLine="567"/>
        <w:jc w:val="both"/>
        <w:rPr>
          <w:rFonts w:eastAsia="Times New Roman"/>
          <w:sz w:val="22"/>
          <w:szCs w:val="22"/>
        </w:rPr>
      </w:pPr>
      <w:r>
        <w:rPr>
          <w:rFonts w:eastAsia="Times New Roman"/>
          <w:sz w:val="22"/>
          <w:szCs w:val="22"/>
        </w:rPr>
        <w:t>Preliminarmente pretende-se utilizar 5 (cinco) instrumentos para coleta de dados:</w:t>
      </w:r>
    </w:p>
    <w:p w:rsidR="00762C45" w:rsidRDefault="00303B66">
      <w:pPr>
        <w:pStyle w:val="PargrafodaLista"/>
        <w:numPr>
          <w:ilvl w:val="0"/>
          <w:numId w:val="10"/>
        </w:numPr>
        <w:tabs>
          <w:tab w:val="left" w:pos="284"/>
        </w:tabs>
        <w:suppressAutoHyphens w:val="0"/>
        <w:spacing w:line="240" w:lineRule="auto"/>
        <w:ind w:left="0" w:hanging="11"/>
        <w:rPr>
          <w:rFonts w:ascii="Times New Roman" w:hAnsi="Times New Roman" w:cs="Times New Roman"/>
          <w:sz w:val="22"/>
          <w:szCs w:val="22"/>
        </w:rPr>
      </w:pPr>
      <w:r>
        <w:rPr>
          <w:rFonts w:ascii="Times New Roman" w:hAnsi="Times New Roman" w:cs="Times New Roman"/>
          <w:sz w:val="22"/>
          <w:szCs w:val="22"/>
        </w:rPr>
        <w:t>aluno avaliando infraestrutura;</w:t>
      </w:r>
    </w:p>
    <w:p w:rsidR="00762C45" w:rsidRDefault="00303B66">
      <w:pPr>
        <w:pStyle w:val="PargrafodaLista"/>
        <w:numPr>
          <w:ilvl w:val="0"/>
          <w:numId w:val="10"/>
        </w:numPr>
        <w:tabs>
          <w:tab w:val="left" w:pos="284"/>
        </w:tabs>
        <w:suppressAutoHyphens w:val="0"/>
        <w:spacing w:line="240" w:lineRule="auto"/>
        <w:ind w:left="0" w:hanging="11"/>
        <w:rPr>
          <w:rFonts w:ascii="Times New Roman" w:hAnsi="Times New Roman" w:cs="Times New Roman"/>
          <w:sz w:val="22"/>
          <w:szCs w:val="22"/>
        </w:rPr>
      </w:pPr>
      <w:r>
        <w:rPr>
          <w:rFonts w:ascii="Times New Roman" w:hAnsi="Times New Roman" w:cs="Times New Roman"/>
          <w:sz w:val="22"/>
          <w:szCs w:val="22"/>
        </w:rPr>
        <w:t>autoavaliação do aluno e aluno avaliando o professor;</w:t>
      </w:r>
    </w:p>
    <w:p w:rsidR="00762C45" w:rsidRDefault="00303B66">
      <w:pPr>
        <w:pStyle w:val="PargrafodaLista"/>
        <w:numPr>
          <w:ilvl w:val="0"/>
          <w:numId w:val="10"/>
        </w:numPr>
        <w:tabs>
          <w:tab w:val="left" w:pos="284"/>
        </w:tabs>
        <w:suppressAutoHyphens w:val="0"/>
        <w:spacing w:line="240" w:lineRule="auto"/>
        <w:ind w:left="0" w:hanging="11"/>
        <w:rPr>
          <w:rFonts w:ascii="Times New Roman" w:hAnsi="Times New Roman" w:cs="Times New Roman"/>
          <w:sz w:val="22"/>
          <w:szCs w:val="22"/>
        </w:rPr>
      </w:pPr>
      <w:r>
        <w:rPr>
          <w:rFonts w:ascii="Times New Roman" w:hAnsi="Times New Roman" w:cs="Times New Roman"/>
          <w:sz w:val="22"/>
          <w:szCs w:val="22"/>
        </w:rPr>
        <w:t>professor avaliando a infraestrutura;</w:t>
      </w:r>
    </w:p>
    <w:p w:rsidR="00762C45" w:rsidRDefault="00303B66">
      <w:pPr>
        <w:pStyle w:val="PargrafodaLista"/>
        <w:numPr>
          <w:ilvl w:val="0"/>
          <w:numId w:val="10"/>
        </w:numPr>
        <w:tabs>
          <w:tab w:val="left" w:pos="284"/>
        </w:tabs>
        <w:suppressAutoHyphens w:val="0"/>
        <w:spacing w:line="240" w:lineRule="auto"/>
        <w:ind w:left="0" w:hanging="11"/>
        <w:rPr>
          <w:rFonts w:ascii="Times New Roman" w:hAnsi="Times New Roman" w:cs="Times New Roman"/>
          <w:sz w:val="22"/>
          <w:szCs w:val="22"/>
        </w:rPr>
      </w:pPr>
      <w:r>
        <w:rPr>
          <w:rFonts w:ascii="Times New Roman" w:hAnsi="Times New Roman" w:cs="Times New Roman"/>
          <w:sz w:val="22"/>
          <w:szCs w:val="22"/>
        </w:rPr>
        <w:t>professor avaliando coordenação;</w:t>
      </w:r>
    </w:p>
    <w:p w:rsidR="00762C45" w:rsidRDefault="00303B66">
      <w:pPr>
        <w:pStyle w:val="PargrafodaLista"/>
        <w:numPr>
          <w:ilvl w:val="0"/>
          <w:numId w:val="10"/>
        </w:numPr>
        <w:tabs>
          <w:tab w:val="left" w:pos="284"/>
        </w:tabs>
        <w:suppressAutoHyphens w:val="0"/>
        <w:spacing w:line="240" w:lineRule="auto"/>
        <w:ind w:left="0" w:hanging="11"/>
        <w:rPr>
          <w:rFonts w:ascii="Times New Roman" w:hAnsi="Times New Roman" w:cs="Times New Roman"/>
          <w:sz w:val="22"/>
          <w:szCs w:val="22"/>
        </w:rPr>
      </w:pPr>
      <w:r>
        <w:rPr>
          <w:rFonts w:ascii="Times New Roman" w:hAnsi="Times New Roman" w:cs="Times New Roman"/>
          <w:sz w:val="22"/>
          <w:szCs w:val="22"/>
        </w:rPr>
        <w:t xml:space="preserve">professor na sua autoavaliação. </w:t>
      </w:r>
    </w:p>
    <w:p w:rsidR="00762C45" w:rsidRDefault="00303B66">
      <w:pPr>
        <w:pStyle w:val="PargrafodaLista"/>
        <w:suppressAutoHyphens w:val="0"/>
        <w:spacing w:line="240" w:lineRule="auto"/>
        <w:ind w:left="0" w:firstLine="567"/>
        <w:rPr>
          <w:rFonts w:ascii="Times New Roman" w:hAnsi="Times New Roman" w:cs="Times New Roman"/>
          <w:sz w:val="22"/>
          <w:szCs w:val="22"/>
        </w:rPr>
      </w:pPr>
      <w:r>
        <w:rPr>
          <w:rFonts w:ascii="Times New Roman" w:hAnsi="Times New Roman" w:cs="Times New Roman"/>
          <w:sz w:val="22"/>
          <w:szCs w:val="22"/>
        </w:rPr>
        <w:t>Um dos objetos concentra-se no segundo instrumento, ou seja, na autoavaliação do aluno e o aluno avaliando o professor. Vale salientar que essa avaliação também terá impacto para auxiliar alguns professores em discutir suas práticas pedagógicas e avaliar o trabalho coletivo presente na Instituição.</w:t>
      </w:r>
    </w:p>
    <w:p w:rsidR="00762C45" w:rsidRDefault="00303B66">
      <w:pPr>
        <w:pStyle w:val="PargrafodaLista"/>
        <w:suppressAutoHyphens w:val="0"/>
        <w:spacing w:line="240" w:lineRule="auto"/>
        <w:ind w:left="0" w:firstLine="567"/>
        <w:rPr>
          <w:rFonts w:ascii="Times New Roman" w:hAnsi="Times New Roman" w:cs="Times New Roman"/>
          <w:sz w:val="22"/>
          <w:szCs w:val="22"/>
        </w:rPr>
      </w:pPr>
      <w:r>
        <w:rPr>
          <w:rFonts w:ascii="Times New Roman" w:hAnsi="Times New Roman" w:cs="Times New Roman"/>
          <w:sz w:val="22"/>
          <w:szCs w:val="22"/>
        </w:rPr>
        <w:t>A coleta dos dados será realizada em todos os cursos ofertados pelo CAV na modalidade presencial. Cada aluno responderá o instrumento para todas as disciplinas em que se encontrar matriculado, uma vez que a avaliação será realizada por disciplina. Vale salientar que o processo de avaliação será totalmente espontâneo.</w:t>
      </w:r>
    </w:p>
    <w:p w:rsidR="00762C45" w:rsidRDefault="00303B66">
      <w:pPr>
        <w:ind w:firstLine="567"/>
        <w:jc w:val="both"/>
        <w:rPr>
          <w:sz w:val="22"/>
          <w:szCs w:val="22"/>
        </w:rPr>
      </w:pPr>
      <w:r>
        <w:rPr>
          <w:sz w:val="22"/>
          <w:szCs w:val="22"/>
        </w:rPr>
        <w:t xml:space="preserve">Serão utilizados questionários com perguntas semiaberta, para cada classe representativa na comunidade interna e externa </w:t>
      </w:r>
      <w:r>
        <w:rPr>
          <w:rFonts w:eastAsia="Times New Roman"/>
          <w:sz w:val="22"/>
          <w:szCs w:val="22"/>
        </w:rPr>
        <w:t>disponibilizados na</w:t>
      </w:r>
      <w:r>
        <w:rPr>
          <w:rFonts w:eastAsia="Times New Roman"/>
          <w:i/>
          <w:iCs/>
          <w:sz w:val="22"/>
          <w:szCs w:val="22"/>
        </w:rPr>
        <w:t xml:space="preserve"> intranet</w:t>
      </w:r>
      <w:r>
        <w:rPr>
          <w:rFonts w:eastAsia="Times New Roman"/>
          <w:sz w:val="22"/>
          <w:szCs w:val="22"/>
        </w:rPr>
        <w:t xml:space="preserve"> e</w:t>
      </w:r>
      <w:r>
        <w:rPr>
          <w:rFonts w:eastAsia="Times New Roman"/>
          <w:i/>
          <w:iCs/>
          <w:sz w:val="22"/>
          <w:szCs w:val="22"/>
        </w:rPr>
        <w:t xml:space="preserve"> internet</w:t>
      </w:r>
      <w:r>
        <w:rPr>
          <w:rFonts w:eastAsia="Times New Roman"/>
          <w:sz w:val="22"/>
          <w:szCs w:val="22"/>
        </w:rPr>
        <w:t xml:space="preserve"> para serem respondidos pelos docentes, discentes e técnico-</w:t>
      </w:r>
      <w:r>
        <w:rPr>
          <w:rFonts w:eastAsia="Times New Roman"/>
          <w:sz w:val="22"/>
          <w:szCs w:val="22"/>
        </w:rPr>
        <w:lastRenderedPageBreak/>
        <w:t xml:space="preserve">administrativos. Este instrumento ficará à disposição destes usuários durante o período de duas semanas em cada semestre. Durante estes períodos, será realizado um processo de sensibilização junto à comunidade acadêmica no propósito de informar e conscientizar este público sobre a importância da participação no processo, buscando sentir-se um membro necessário para o desenvolvimento do processo avaliativo. </w:t>
      </w:r>
    </w:p>
    <w:p w:rsidR="00762C45" w:rsidRDefault="00762C45">
      <w:pPr>
        <w:pStyle w:val="PargrafodaLista"/>
        <w:suppressAutoHyphens w:val="0"/>
        <w:spacing w:line="240" w:lineRule="auto"/>
        <w:ind w:left="0" w:firstLine="567"/>
        <w:rPr>
          <w:rFonts w:ascii="Times New Roman" w:hAnsi="Times New Roman" w:cs="Times New Roman"/>
          <w:sz w:val="22"/>
          <w:szCs w:val="22"/>
        </w:rPr>
      </w:pPr>
    </w:p>
    <w:p w:rsidR="00762C45" w:rsidRDefault="00303B66">
      <w:pPr>
        <w:pStyle w:val="Estilo3"/>
      </w:pPr>
      <w:bookmarkStart w:id="17" w:name="_Toc474391168"/>
      <w:bookmarkEnd w:id="17"/>
      <w:r>
        <w:t>2.2.4 Sensibilização da comunidade acadêmica</w:t>
      </w:r>
    </w:p>
    <w:p w:rsidR="00762C45" w:rsidRDefault="00762C45">
      <w:pPr>
        <w:pStyle w:val="Ttulo1"/>
        <w:widowControl/>
        <w:jc w:val="both"/>
        <w:rPr>
          <w:b/>
          <w:sz w:val="22"/>
          <w:szCs w:val="22"/>
        </w:rPr>
      </w:pP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Para que essa avaliação seja desenvolvida com sucesso, há um elemento essencial e inclusive, balizador desta dinâmica que é a participação dos sujeitos no processo avaliativo como atores atuantes e não somente informantes ou meros espectadores. O grau de envolvimento dos seus atores: docentes, discentes e funcionários técnico-administrativos, de uma certa forma, conduz a dinâmica do processo em questão e o caracteriza como participativo. </w:t>
      </w:r>
    </w:p>
    <w:p w:rsidR="00762C45" w:rsidRDefault="00303B66">
      <w:pPr>
        <w:widowControl/>
        <w:suppressAutoHyphens w:val="0"/>
        <w:ind w:firstLine="567"/>
        <w:jc w:val="both"/>
        <w:rPr>
          <w:sz w:val="22"/>
          <w:szCs w:val="22"/>
        </w:rPr>
      </w:pPr>
      <w:r>
        <w:rPr>
          <w:sz w:val="22"/>
          <w:szCs w:val="22"/>
        </w:rPr>
        <w:t>Segundo Dias Sobrinho (2003), a comunidade acadêmica constituída pelos docentes, discentes e funcionários técnico-administrativos, deve ter uma participação institucional. O envolvimento deve ser tanto nas discussões sobre a concepção, as finalidades e o desenho da avaliação quanto também, do levantamento, da organização das informações e dos dados, das pesquisas e das interpretações que dão continuidade ao processo avaliativo.</w:t>
      </w:r>
    </w:p>
    <w:p w:rsidR="00762C45" w:rsidRDefault="00303B66">
      <w:pPr>
        <w:widowControl/>
        <w:suppressAutoHyphens w:val="0"/>
        <w:ind w:firstLine="567"/>
        <w:jc w:val="both"/>
        <w:rPr>
          <w:sz w:val="22"/>
          <w:szCs w:val="22"/>
        </w:rPr>
      </w:pPr>
      <w:r>
        <w:rPr>
          <w:rFonts w:eastAsia="Times New Roman"/>
          <w:sz w:val="22"/>
          <w:szCs w:val="22"/>
        </w:rPr>
        <w:t>O processo de avaliação visa valorizar a participação da comunidade acadêmica, prevalecendo, desta forma, a natureza democrática e participativa, buscando garantir um caráter de envolvimento, confiabilidade e</w:t>
      </w:r>
      <w:r>
        <w:rPr>
          <w:sz w:val="22"/>
          <w:szCs w:val="22"/>
        </w:rPr>
        <w:t xml:space="preserve"> </w:t>
      </w:r>
      <w:r>
        <w:rPr>
          <w:rFonts w:eastAsia="Times New Roman"/>
          <w:sz w:val="22"/>
          <w:szCs w:val="22"/>
        </w:rPr>
        <w:t xml:space="preserve">transparência das metas e missão do </w:t>
      </w:r>
      <w:r>
        <w:rPr>
          <w:rFonts w:eastAsia="Times New Roman"/>
          <w:i/>
          <w:sz w:val="22"/>
          <w:szCs w:val="22"/>
        </w:rPr>
        <w:t>Campus</w:t>
      </w:r>
      <w:r>
        <w:rPr>
          <w:rFonts w:eastAsia="Times New Roman"/>
          <w:sz w:val="22"/>
          <w:szCs w:val="22"/>
        </w:rPr>
        <w:t xml:space="preserve"> Avançado Vigia.</w:t>
      </w:r>
    </w:p>
    <w:p w:rsidR="00762C45" w:rsidRDefault="00303B66">
      <w:pPr>
        <w:widowControl/>
        <w:suppressAutoHyphens w:val="0"/>
        <w:ind w:firstLine="567"/>
        <w:jc w:val="both"/>
        <w:rPr>
          <w:sz w:val="22"/>
          <w:szCs w:val="22"/>
        </w:rPr>
      </w:pPr>
      <w:r>
        <w:rPr>
          <w:rFonts w:eastAsia="Times New Roman"/>
          <w:sz w:val="22"/>
          <w:szCs w:val="22"/>
        </w:rPr>
        <w:t>Vários procedimentos poderão ser adotados para sensibilizar e capacitar os</w:t>
      </w:r>
      <w:r>
        <w:rPr>
          <w:sz w:val="22"/>
          <w:szCs w:val="22"/>
        </w:rPr>
        <w:t xml:space="preserve"> </w:t>
      </w:r>
      <w:r>
        <w:rPr>
          <w:rFonts w:eastAsia="Times New Roman"/>
          <w:sz w:val="22"/>
          <w:szCs w:val="22"/>
        </w:rPr>
        <w:t xml:space="preserve">diferentes segmentos internos do </w:t>
      </w:r>
      <w:r>
        <w:rPr>
          <w:rFonts w:eastAsia="Times New Roman"/>
          <w:i/>
          <w:sz w:val="22"/>
          <w:szCs w:val="22"/>
        </w:rPr>
        <w:t>Campus</w:t>
      </w:r>
      <w:r>
        <w:rPr>
          <w:rFonts w:eastAsia="Times New Roman"/>
          <w:sz w:val="22"/>
          <w:szCs w:val="22"/>
        </w:rPr>
        <w:t xml:space="preserve"> Avançado Vigia, objetivando o</w:t>
      </w:r>
      <w:r>
        <w:rPr>
          <w:sz w:val="22"/>
          <w:szCs w:val="22"/>
        </w:rPr>
        <w:t xml:space="preserve"> </w:t>
      </w:r>
      <w:r>
        <w:rPr>
          <w:rFonts w:eastAsia="Times New Roman"/>
          <w:sz w:val="22"/>
          <w:szCs w:val="22"/>
        </w:rPr>
        <w:t>acolhimento da comunidade quanto á participação permanente e efetiva no</w:t>
      </w:r>
      <w:r>
        <w:rPr>
          <w:sz w:val="22"/>
          <w:szCs w:val="22"/>
        </w:rPr>
        <w:t xml:space="preserve"> </w:t>
      </w:r>
      <w:r>
        <w:rPr>
          <w:rFonts w:eastAsia="Times New Roman"/>
          <w:sz w:val="22"/>
          <w:szCs w:val="22"/>
        </w:rPr>
        <w:t>processo, tais como: seminários, folder’s informativos delineando os objetivos e</w:t>
      </w:r>
      <w:r>
        <w:rPr>
          <w:sz w:val="22"/>
          <w:szCs w:val="22"/>
        </w:rPr>
        <w:t xml:space="preserve"> </w:t>
      </w:r>
      <w:r>
        <w:rPr>
          <w:rFonts w:eastAsia="Times New Roman"/>
          <w:sz w:val="22"/>
          <w:szCs w:val="22"/>
        </w:rPr>
        <w:t>importância, reuniões de grupos, confecção de site específico, palestras de</w:t>
      </w:r>
      <w:r>
        <w:rPr>
          <w:sz w:val="22"/>
          <w:szCs w:val="22"/>
        </w:rPr>
        <w:t xml:space="preserve"> </w:t>
      </w:r>
      <w:r>
        <w:rPr>
          <w:rFonts w:eastAsia="Times New Roman"/>
          <w:sz w:val="22"/>
          <w:szCs w:val="22"/>
        </w:rPr>
        <w:t xml:space="preserve">especialistas externos, mesas redondas, auxiliando a familiarização com a problemática. </w:t>
      </w:r>
    </w:p>
    <w:p w:rsidR="00762C45" w:rsidRDefault="00762C45">
      <w:pPr>
        <w:widowControl/>
        <w:suppressAutoHyphens w:val="0"/>
        <w:ind w:firstLine="567"/>
        <w:jc w:val="both"/>
        <w:rPr>
          <w:rFonts w:eastAsia="Times New Roman"/>
          <w:sz w:val="22"/>
          <w:szCs w:val="22"/>
        </w:rPr>
      </w:pPr>
    </w:p>
    <w:p w:rsidR="00762C45" w:rsidRDefault="00303B66">
      <w:pPr>
        <w:pStyle w:val="Ttulo3"/>
        <w:spacing w:before="0"/>
        <w:rPr>
          <w:rFonts w:ascii="Times New Roman" w:hAnsi="Times New Roman" w:cs="Times New Roman"/>
        </w:rPr>
      </w:pPr>
      <w:bookmarkStart w:id="18" w:name="_Toc474391169"/>
      <w:bookmarkEnd w:id="18"/>
      <w:r>
        <w:rPr>
          <w:rFonts w:ascii="Times New Roman" w:hAnsi="Times New Roman" w:cs="Times New Roman"/>
          <w:b/>
          <w:color w:val="00000A"/>
          <w:sz w:val="22"/>
          <w:szCs w:val="22"/>
        </w:rPr>
        <w:t>2.2.5 Participação da comunidade acadêmica nas instâncias institucionais</w:t>
      </w:r>
    </w:p>
    <w:p w:rsidR="00762C45" w:rsidRDefault="00762C45">
      <w:pPr>
        <w:ind w:firstLine="567"/>
        <w:jc w:val="both"/>
      </w:pPr>
    </w:p>
    <w:p w:rsidR="00762C45" w:rsidRDefault="00303B66">
      <w:pPr>
        <w:ind w:firstLine="567"/>
        <w:jc w:val="both"/>
        <w:rPr>
          <w:sz w:val="22"/>
          <w:szCs w:val="22"/>
        </w:rPr>
      </w:pPr>
      <w:r>
        <w:rPr>
          <w:sz w:val="22"/>
          <w:szCs w:val="22"/>
        </w:rPr>
        <w:t xml:space="preserve">A participação da comunidade acadêmica nas diversas instâncias de decisão e de planejamento do </w:t>
      </w:r>
      <w:r>
        <w:rPr>
          <w:rFonts w:eastAsia="Times New Roman"/>
          <w:i/>
          <w:sz w:val="22"/>
          <w:szCs w:val="22"/>
        </w:rPr>
        <w:t>campus</w:t>
      </w:r>
      <w:r>
        <w:rPr>
          <w:sz w:val="22"/>
          <w:szCs w:val="22"/>
        </w:rPr>
        <w:t xml:space="preserve"> estará assegurada no seu Regimento Interno a ser aprovado no CONSUP prevendo-se uma participação paritária dos 3 (três) segmentos, docentes, discentes e servidores técnico-administrativos além da representação da sociedade civil organizada em número significativo que represente os diversos setores econômicos e sociais da sua região de atuação.</w:t>
      </w:r>
    </w:p>
    <w:p w:rsidR="00762C45" w:rsidRDefault="00303B66">
      <w:pPr>
        <w:ind w:firstLine="567"/>
        <w:jc w:val="both"/>
        <w:rPr>
          <w:sz w:val="22"/>
          <w:szCs w:val="22"/>
        </w:rPr>
      </w:pPr>
      <w:r>
        <w:rPr>
          <w:sz w:val="22"/>
          <w:szCs w:val="22"/>
        </w:rPr>
        <w:t xml:space="preserve"> </w:t>
      </w:r>
    </w:p>
    <w:p w:rsidR="00762C45" w:rsidRDefault="00303B66">
      <w:pPr>
        <w:pStyle w:val="Estilo3"/>
      </w:pPr>
      <w:bookmarkStart w:id="19" w:name="_Toc474391170"/>
      <w:bookmarkEnd w:id="19"/>
      <w:r>
        <w:t>2. 2.6 Divulgação e uso dos resultados na definição de políticas institucionais</w:t>
      </w:r>
    </w:p>
    <w:p w:rsidR="00762C45" w:rsidRDefault="00762C45">
      <w:pPr>
        <w:ind w:firstLine="720"/>
        <w:jc w:val="both"/>
        <w:rPr>
          <w:color w:val="FF0000"/>
          <w:sz w:val="22"/>
          <w:szCs w:val="22"/>
        </w:rPr>
      </w:pPr>
    </w:p>
    <w:p w:rsidR="00762C45" w:rsidRDefault="00303B66">
      <w:pPr>
        <w:ind w:firstLine="720"/>
        <w:jc w:val="both"/>
        <w:rPr>
          <w:sz w:val="22"/>
          <w:szCs w:val="22"/>
        </w:rPr>
      </w:pPr>
      <w:r>
        <w:rPr>
          <w:sz w:val="22"/>
          <w:szCs w:val="22"/>
        </w:rPr>
        <w:t xml:space="preserve">Após a sistematização dos resultados pela Comissão será feita a ampla divulgação na comunidade interna e externa, através de reuniões e audiências públicas para este fim, sendo as sugestões e encaminhamentos tirados nesses eventos registrados em atas e considerados na próxima revisão do PDC do </w:t>
      </w:r>
      <w:r>
        <w:rPr>
          <w:i/>
          <w:sz w:val="22"/>
          <w:szCs w:val="22"/>
        </w:rPr>
        <w:t>campus</w:t>
      </w:r>
      <w:r>
        <w:rPr>
          <w:sz w:val="22"/>
          <w:szCs w:val="22"/>
        </w:rPr>
        <w:t>.</w:t>
      </w:r>
    </w:p>
    <w:p w:rsidR="00762C45" w:rsidRDefault="00762C45">
      <w:pPr>
        <w:rPr>
          <w:sz w:val="22"/>
          <w:szCs w:val="22"/>
        </w:rPr>
      </w:pPr>
    </w:p>
    <w:p w:rsidR="00762C45" w:rsidRDefault="00303B66">
      <w:pPr>
        <w:pStyle w:val="Estilo3"/>
        <w:jc w:val="both"/>
      </w:pPr>
      <w:bookmarkStart w:id="20" w:name="_Toc474391171"/>
      <w:bookmarkEnd w:id="20"/>
      <w:r>
        <w:t>2.2.7 Cronograma geral de desenvolvimento das atividades avaliativas, inclusive previsão do início da avaliação externa, dentre outros pontos que considerar relevantes.</w:t>
      </w:r>
    </w:p>
    <w:p w:rsidR="00762C45" w:rsidRDefault="00762C45">
      <w:pPr>
        <w:jc w:val="both"/>
        <w:rPr>
          <w:bCs/>
          <w:sz w:val="22"/>
          <w:szCs w:val="22"/>
        </w:rPr>
      </w:pPr>
    </w:p>
    <w:p w:rsidR="00762C45" w:rsidRDefault="00303B66">
      <w:pPr>
        <w:ind w:firstLine="567"/>
        <w:jc w:val="both"/>
        <w:rPr>
          <w:bCs/>
          <w:sz w:val="22"/>
          <w:szCs w:val="22"/>
        </w:rPr>
      </w:pPr>
      <w:r>
        <w:rPr>
          <w:bCs/>
          <w:sz w:val="22"/>
          <w:szCs w:val="22"/>
        </w:rPr>
        <w:t xml:space="preserve">O Quadro 02 apresenta o cronograma de atividades a serem executadas no triênio 2016-2018 relacionadas com o Processo de Avaliação Interna e Externa do </w:t>
      </w:r>
      <w:r>
        <w:rPr>
          <w:bCs/>
          <w:i/>
          <w:sz w:val="22"/>
          <w:szCs w:val="22"/>
        </w:rPr>
        <w:t>Campus</w:t>
      </w:r>
      <w:r>
        <w:rPr>
          <w:bCs/>
          <w:sz w:val="22"/>
          <w:szCs w:val="22"/>
        </w:rPr>
        <w:t xml:space="preserve"> Avançado Vigia.</w:t>
      </w:r>
    </w:p>
    <w:p w:rsidR="00762C45" w:rsidRDefault="00762C45">
      <w:pPr>
        <w:ind w:firstLine="567"/>
        <w:jc w:val="both"/>
        <w:rPr>
          <w:bCs/>
          <w:sz w:val="22"/>
          <w:szCs w:val="22"/>
        </w:rPr>
      </w:pPr>
    </w:p>
    <w:p w:rsidR="00762C45" w:rsidRDefault="00762C45">
      <w:pPr>
        <w:ind w:firstLine="567"/>
        <w:jc w:val="both"/>
        <w:rPr>
          <w:bCs/>
          <w:sz w:val="22"/>
          <w:szCs w:val="22"/>
        </w:rPr>
      </w:pPr>
    </w:p>
    <w:p w:rsidR="00762C45" w:rsidRDefault="00762C45">
      <w:pPr>
        <w:ind w:firstLine="567"/>
        <w:jc w:val="both"/>
        <w:rPr>
          <w:bCs/>
          <w:sz w:val="22"/>
          <w:szCs w:val="22"/>
        </w:rPr>
      </w:pPr>
    </w:p>
    <w:p w:rsidR="00762C45" w:rsidRDefault="00762C45">
      <w:pPr>
        <w:ind w:firstLine="567"/>
        <w:jc w:val="both"/>
        <w:rPr>
          <w:bCs/>
          <w:sz w:val="22"/>
          <w:szCs w:val="22"/>
        </w:rPr>
      </w:pPr>
    </w:p>
    <w:p w:rsidR="00762C45" w:rsidRDefault="00762C45">
      <w:pPr>
        <w:jc w:val="both"/>
        <w:rPr>
          <w:bCs/>
          <w:sz w:val="22"/>
          <w:szCs w:val="22"/>
        </w:rPr>
      </w:pPr>
    </w:p>
    <w:p w:rsidR="00762C45" w:rsidRDefault="00762C45">
      <w:pPr>
        <w:jc w:val="both"/>
        <w:rPr>
          <w:bCs/>
          <w:sz w:val="22"/>
          <w:szCs w:val="22"/>
        </w:rPr>
      </w:pPr>
    </w:p>
    <w:p w:rsidR="00762C45" w:rsidRDefault="00303B66">
      <w:pPr>
        <w:jc w:val="center"/>
      </w:pPr>
      <w:bookmarkStart w:id="21" w:name="_Toc474391110"/>
      <w:bookmarkStart w:id="22" w:name="_Toc472974280"/>
      <w:r>
        <w:rPr>
          <w:b/>
          <w:sz w:val="20"/>
          <w:szCs w:val="20"/>
        </w:rPr>
        <w:t xml:space="preserve">Quadro </w:t>
      </w:r>
      <w:r>
        <w:rPr>
          <w:b/>
          <w:sz w:val="20"/>
          <w:szCs w:val="20"/>
        </w:rPr>
        <w:fldChar w:fldCharType="begin"/>
      </w:r>
      <w:r>
        <w:instrText>SEQ Quadro \* ARABIC</w:instrText>
      </w:r>
      <w:r>
        <w:fldChar w:fldCharType="separate"/>
      </w:r>
      <w:r>
        <w:rPr>
          <w:noProof/>
        </w:rPr>
        <w:t>2</w:t>
      </w:r>
      <w:r>
        <w:fldChar w:fldCharType="end"/>
      </w:r>
      <w:r>
        <w:rPr>
          <w:b/>
          <w:sz w:val="20"/>
          <w:szCs w:val="20"/>
        </w:rPr>
        <w:t xml:space="preserve">. </w:t>
      </w:r>
      <w:bookmarkEnd w:id="21"/>
      <w:bookmarkEnd w:id="22"/>
      <w:r>
        <w:rPr>
          <w:b/>
          <w:bCs/>
          <w:sz w:val="20"/>
          <w:szCs w:val="20"/>
        </w:rPr>
        <w:t>Cronograma de atividades do processo de avaliação interna e externa do CAV no período 2016 a 2018</w:t>
      </w:r>
    </w:p>
    <w:p w:rsidR="00762C45" w:rsidRDefault="00762C45">
      <w:pPr>
        <w:jc w:val="center"/>
        <w:rPr>
          <w:b/>
          <w:bCs/>
          <w:sz w:val="20"/>
          <w:szCs w:val="20"/>
        </w:rPr>
      </w:pPr>
    </w:p>
    <w:tbl>
      <w:tblPr>
        <w:tblStyle w:val="Tabelacomgrade"/>
        <w:tblW w:w="10285" w:type="dxa"/>
        <w:jc w:val="center"/>
        <w:tblCellMar>
          <w:left w:w="58" w:type="dxa"/>
        </w:tblCellMar>
        <w:tblLook w:val="04A0" w:firstRow="1" w:lastRow="0" w:firstColumn="1" w:lastColumn="0" w:noHBand="0" w:noVBand="1"/>
      </w:tblPr>
      <w:tblGrid>
        <w:gridCol w:w="7810"/>
        <w:gridCol w:w="938"/>
        <w:gridCol w:w="786"/>
        <w:gridCol w:w="751"/>
      </w:tblGrid>
      <w:tr w:rsidR="00762C45">
        <w:trPr>
          <w:jc w:val="center"/>
        </w:trPr>
        <w:tc>
          <w:tcPr>
            <w:tcW w:w="7809" w:type="dxa"/>
            <w:vMerge w:val="restart"/>
            <w:shd w:val="clear" w:color="auto" w:fill="AEAAAA" w:themeFill="background2" w:themeFillShade="BF"/>
            <w:tcMar>
              <w:left w:w="58" w:type="dxa"/>
            </w:tcMar>
            <w:vAlign w:val="center"/>
          </w:tcPr>
          <w:p w:rsidR="00762C45" w:rsidRDefault="00303B66">
            <w:pPr>
              <w:jc w:val="center"/>
              <w:rPr>
                <w:rFonts w:eastAsia="Times New Roman"/>
                <w:b/>
                <w:sz w:val="20"/>
                <w:szCs w:val="20"/>
              </w:rPr>
            </w:pPr>
            <w:r>
              <w:rPr>
                <w:rFonts w:eastAsia="Times New Roman"/>
                <w:b/>
                <w:sz w:val="20"/>
                <w:szCs w:val="20"/>
              </w:rPr>
              <w:lastRenderedPageBreak/>
              <w:t>Atividades</w:t>
            </w:r>
          </w:p>
        </w:tc>
        <w:tc>
          <w:tcPr>
            <w:tcW w:w="2475" w:type="dxa"/>
            <w:gridSpan w:val="3"/>
            <w:shd w:val="clear" w:color="auto" w:fill="AEAAAA" w:themeFill="background2" w:themeFillShade="BF"/>
            <w:tcMar>
              <w:left w:w="58" w:type="dxa"/>
            </w:tcMar>
          </w:tcPr>
          <w:p w:rsidR="00762C45" w:rsidRDefault="00303B66">
            <w:pPr>
              <w:jc w:val="center"/>
              <w:rPr>
                <w:rFonts w:eastAsia="Times New Roman"/>
                <w:b/>
                <w:sz w:val="20"/>
                <w:szCs w:val="20"/>
              </w:rPr>
            </w:pPr>
            <w:r>
              <w:rPr>
                <w:rFonts w:eastAsia="Times New Roman"/>
                <w:b/>
                <w:sz w:val="20"/>
                <w:szCs w:val="20"/>
              </w:rPr>
              <w:t>Período</w:t>
            </w:r>
          </w:p>
        </w:tc>
      </w:tr>
      <w:tr w:rsidR="00762C45">
        <w:trPr>
          <w:jc w:val="center"/>
        </w:trPr>
        <w:tc>
          <w:tcPr>
            <w:tcW w:w="7809" w:type="dxa"/>
            <w:vMerge/>
            <w:shd w:val="clear" w:color="auto" w:fill="AEAAAA" w:themeFill="background2" w:themeFillShade="BF"/>
            <w:tcMar>
              <w:left w:w="58" w:type="dxa"/>
            </w:tcMar>
          </w:tcPr>
          <w:p w:rsidR="00762C45" w:rsidRDefault="00762C45">
            <w:pPr>
              <w:rPr>
                <w:rFonts w:eastAsia="Times New Roman"/>
                <w:b/>
                <w:sz w:val="20"/>
                <w:szCs w:val="20"/>
              </w:rPr>
            </w:pPr>
          </w:p>
        </w:tc>
        <w:tc>
          <w:tcPr>
            <w:tcW w:w="938" w:type="dxa"/>
            <w:shd w:val="clear" w:color="auto" w:fill="AEAAAA" w:themeFill="background2" w:themeFillShade="BF"/>
            <w:tcMar>
              <w:left w:w="58" w:type="dxa"/>
            </w:tcMar>
          </w:tcPr>
          <w:p w:rsidR="00762C45" w:rsidRDefault="00303B66">
            <w:pPr>
              <w:jc w:val="center"/>
              <w:rPr>
                <w:rFonts w:eastAsia="Times New Roman"/>
                <w:b/>
                <w:sz w:val="20"/>
                <w:szCs w:val="20"/>
              </w:rPr>
            </w:pPr>
            <w:r>
              <w:rPr>
                <w:rFonts w:eastAsia="Times New Roman"/>
                <w:b/>
                <w:sz w:val="20"/>
                <w:szCs w:val="20"/>
              </w:rPr>
              <w:t>2016</w:t>
            </w:r>
          </w:p>
        </w:tc>
        <w:tc>
          <w:tcPr>
            <w:tcW w:w="786" w:type="dxa"/>
            <w:shd w:val="clear" w:color="auto" w:fill="AEAAAA" w:themeFill="background2" w:themeFillShade="BF"/>
            <w:tcMar>
              <w:left w:w="58" w:type="dxa"/>
            </w:tcMar>
          </w:tcPr>
          <w:p w:rsidR="00762C45" w:rsidRDefault="00303B66">
            <w:pPr>
              <w:jc w:val="center"/>
              <w:rPr>
                <w:rFonts w:eastAsia="Times New Roman"/>
                <w:b/>
                <w:sz w:val="20"/>
                <w:szCs w:val="20"/>
              </w:rPr>
            </w:pPr>
            <w:r>
              <w:rPr>
                <w:rFonts w:eastAsia="Times New Roman"/>
                <w:b/>
                <w:sz w:val="20"/>
                <w:szCs w:val="20"/>
              </w:rPr>
              <w:t>2017</w:t>
            </w:r>
          </w:p>
        </w:tc>
        <w:tc>
          <w:tcPr>
            <w:tcW w:w="751" w:type="dxa"/>
            <w:shd w:val="clear" w:color="auto" w:fill="AEAAAA" w:themeFill="background2" w:themeFillShade="BF"/>
            <w:tcMar>
              <w:left w:w="58" w:type="dxa"/>
            </w:tcMar>
          </w:tcPr>
          <w:p w:rsidR="00762C45" w:rsidRDefault="00303B66">
            <w:pPr>
              <w:jc w:val="center"/>
              <w:rPr>
                <w:rFonts w:eastAsia="Times New Roman"/>
                <w:b/>
                <w:sz w:val="20"/>
                <w:szCs w:val="20"/>
              </w:rPr>
            </w:pPr>
            <w:r>
              <w:rPr>
                <w:rFonts w:eastAsia="Times New Roman"/>
                <w:b/>
                <w:sz w:val="20"/>
                <w:szCs w:val="20"/>
              </w:rPr>
              <w:t>2018</w:t>
            </w: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Criação da Comissão Própria de Avaliação</w:t>
            </w:r>
          </w:p>
        </w:tc>
        <w:tc>
          <w:tcPr>
            <w:tcW w:w="938" w:type="dxa"/>
            <w:shd w:val="clear" w:color="auto" w:fill="auto"/>
            <w:tcMar>
              <w:left w:w="58" w:type="dxa"/>
            </w:tcMar>
          </w:tcPr>
          <w:p w:rsidR="00762C45" w:rsidRDefault="00303B66">
            <w:pPr>
              <w:jc w:val="center"/>
            </w:pPr>
            <w:r>
              <w:rPr>
                <w:rFonts w:eastAsia="Times New Roman"/>
                <w:sz w:val="20"/>
                <w:szCs w:val="20"/>
              </w:rPr>
              <w:t>x</w:t>
            </w:r>
          </w:p>
        </w:tc>
        <w:tc>
          <w:tcPr>
            <w:tcW w:w="786" w:type="dxa"/>
            <w:shd w:val="clear" w:color="auto" w:fill="auto"/>
            <w:tcMar>
              <w:left w:w="58" w:type="dxa"/>
            </w:tcMar>
          </w:tcPr>
          <w:p w:rsidR="00762C45" w:rsidRDefault="00762C45">
            <w:pPr>
              <w:rPr>
                <w:rFonts w:eastAsia="Times New Roman"/>
                <w:sz w:val="20"/>
                <w:szCs w:val="20"/>
              </w:rPr>
            </w:pPr>
          </w:p>
        </w:tc>
        <w:tc>
          <w:tcPr>
            <w:tcW w:w="751" w:type="dxa"/>
            <w:shd w:val="clear" w:color="auto" w:fill="auto"/>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Capacitação dos membros da CPA</w:t>
            </w:r>
          </w:p>
        </w:tc>
        <w:tc>
          <w:tcPr>
            <w:tcW w:w="938" w:type="dxa"/>
            <w:shd w:val="clear" w:color="auto" w:fill="auto"/>
            <w:tcMar>
              <w:left w:w="58" w:type="dxa"/>
            </w:tcMar>
          </w:tcPr>
          <w:p w:rsidR="00762C45" w:rsidRDefault="00762C45">
            <w:pPr>
              <w:jc w:val="center"/>
              <w:rPr>
                <w:rFonts w:eastAsia="Times New Roman"/>
                <w:sz w:val="20"/>
                <w:szCs w:val="20"/>
              </w:rPr>
            </w:pPr>
          </w:p>
        </w:tc>
        <w:tc>
          <w:tcPr>
            <w:tcW w:w="786" w:type="dxa"/>
            <w:shd w:val="clear" w:color="auto" w:fill="auto"/>
            <w:tcMar>
              <w:left w:w="58" w:type="dxa"/>
            </w:tcMar>
          </w:tcPr>
          <w:p w:rsidR="00762C45" w:rsidRDefault="00303B66">
            <w:pPr>
              <w:jc w:val="center"/>
            </w:pPr>
            <w:r>
              <w:rPr>
                <w:rFonts w:eastAsia="Times New Roman"/>
                <w:sz w:val="20"/>
                <w:szCs w:val="20"/>
              </w:rPr>
              <w:t>x</w:t>
            </w:r>
          </w:p>
        </w:tc>
        <w:tc>
          <w:tcPr>
            <w:tcW w:w="751" w:type="dxa"/>
            <w:shd w:val="clear" w:color="auto" w:fill="auto"/>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Reunião de estudo da Lei nº 10.861e das diretrizes de avaliação da educação</w:t>
            </w:r>
          </w:p>
        </w:tc>
        <w:tc>
          <w:tcPr>
            <w:tcW w:w="938" w:type="dxa"/>
            <w:shd w:val="clear" w:color="auto" w:fill="auto"/>
            <w:tcMar>
              <w:left w:w="58" w:type="dxa"/>
            </w:tcMar>
          </w:tcPr>
          <w:p w:rsidR="00762C45" w:rsidRDefault="00762C45">
            <w:pPr>
              <w:jc w:val="center"/>
              <w:rPr>
                <w:rFonts w:eastAsia="Times New Roman"/>
                <w:sz w:val="20"/>
                <w:szCs w:val="20"/>
              </w:rPr>
            </w:pPr>
          </w:p>
        </w:tc>
        <w:tc>
          <w:tcPr>
            <w:tcW w:w="786" w:type="dxa"/>
            <w:shd w:val="clear" w:color="auto" w:fill="auto"/>
            <w:tcMar>
              <w:left w:w="58" w:type="dxa"/>
            </w:tcMar>
          </w:tcPr>
          <w:p w:rsidR="00762C45" w:rsidRDefault="00303B66">
            <w:pPr>
              <w:jc w:val="center"/>
            </w:pPr>
            <w:r>
              <w:rPr>
                <w:rFonts w:eastAsia="Times New Roman"/>
                <w:sz w:val="20"/>
                <w:szCs w:val="20"/>
              </w:rPr>
              <w:t>x</w:t>
            </w:r>
          </w:p>
        </w:tc>
        <w:tc>
          <w:tcPr>
            <w:tcW w:w="751" w:type="dxa"/>
            <w:shd w:val="clear" w:color="auto" w:fill="auto"/>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Sensibilização e conscientização da comunidade da necessidade de estabelecer a avaliação como um processo contínuo</w:t>
            </w:r>
          </w:p>
        </w:tc>
        <w:tc>
          <w:tcPr>
            <w:tcW w:w="938" w:type="dxa"/>
            <w:shd w:val="clear" w:color="auto" w:fill="BFBFBF" w:themeFill="background1" w:themeFillShade="BF"/>
            <w:tcMar>
              <w:left w:w="58" w:type="dxa"/>
            </w:tcMar>
          </w:tcPr>
          <w:p w:rsidR="00762C45" w:rsidRDefault="00762C45">
            <w:pPr>
              <w:jc w:val="both"/>
              <w:rPr>
                <w:rFonts w:eastAsia="Times New Roman"/>
                <w:sz w:val="20"/>
                <w:szCs w:val="20"/>
              </w:rPr>
            </w:pPr>
          </w:p>
        </w:tc>
        <w:tc>
          <w:tcPr>
            <w:tcW w:w="786" w:type="dxa"/>
            <w:shd w:val="clear" w:color="auto" w:fill="BFBFBF" w:themeFill="background1" w:themeFillShade="BF"/>
            <w:tcMar>
              <w:left w:w="58" w:type="dxa"/>
            </w:tcMar>
          </w:tcPr>
          <w:p w:rsidR="00762C45" w:rsidRDefault="00762C45">
            <w:pPr>
              <w:jc w:val="center"/>
              <w:rPr>
                <w:rFonts w:eastAsia="Times New Roman"/>
                <w:sz w:val="20"/>
                <w:szCs w:val="20"/>
              </w:rPr>
            </w:pPr>
          </w:p>
        </w:tc>
        <w:tc>
          <w:tcPr>
            <w:tcW w:w="751" w:type="dxa"/>
            <w:shd w:val="clear" w:color="auto" w:fill="BFBFBF" w:themeFill="background1" w:themeFillShade="BF"/>
            <w:tcMar>
              <w:left w:w="58" w:type="dxa"/>
            </w:tcMar>
          </w:tcPr>
          <w:p w:rsidR="00762C45" w:rsidRDefault="00762C45">
            <w:pPr>
              <w:jc w:val="both"/>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Discussão e elaboração de proposta de projeto de avaliação</w:t>
            </w:r>
          </w:p>
        </w:tc>
        <w:tc>
          <w:tcPr>
            <w:tcW w:w="938" w:type="dxa"/>
            <w:shd w:val="clear" w:color="auto" w:fill="auto"/>
            <w:tcMar>
              <w:left w:w="58" w:type="dxa"/>
            </w:tcMar>
          </w:tcPr>
          <w:p w:rsidR="00762C45" w:rsidRDefault="00762C45">
            <w:pPr>
              <w:jc w:val="center"/>
              <w:rPr>
                <w:rFonts w:eastAsia="Times New Roman"/>
                <w:sz w:val="20"/>
                <w:szCs w:val="20"/>
              </w:rPr>
            </w:pPr>
          </w:p>
        </w:tc>
        <w:tc>
          <w:tcPr>
            <w:tcW w:w="786" w:type="dxa"/>
            <w:shd w:val="clear" w:color="auto" w:fill="auto"/>
            <w:tcMar>
              <w:left w:w="58" w:type="dxa"/>
            </w:tcMar>
          </w:tcPr>
          <w:p w:rsidR="00762C45" w:rsidRDefault="00303B66">
            <w:pPr>
              <w:jc w:val="center"/>
            </w:pPr>
            <w:r>
              <w:rPr>
                <w:rFonts w:eastAsia="Times New Roman"/>
                <w:sz w:val="20"/>
                <w:szCs w:val="20"/>
              </w:rPr>
              <w:t>x</w:t>
            </w:r>
          </w:p>
        </w:tc>
        <w:tc>
          <w:tcPr>
            <w:tcW w:w="751" w:type="dxa"/>
            <w:shd w:val="clear" w:color="auto" w:fill="auto"/>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Levantamento de dados e informações acadêmicas e administrativas</w:t>
            </w:r>
          </w:p>
        </w:tc>
        <w:tc>
          <w:tcPr>
            <w:tcW w:w="938" w:type="dxa"/>
            <w:shd w:val="clear" w:color="auto" w:fill="BFBFBF" w:themeFill="background1" w:themeFillShade="BF"/>
            <w:tcMar>
              <w:left w:w="58" w:type="dxa"/>
            </w:tcMar>
          </w:tcPr>
          <w:p w:rsidR="00762C45" w:rsidRDefault="00762C45">
            <w:pPr>
              <w:rPr>
                <w:rFonts w:eastAsia="Times New Roman"/>
                <w:sz w:val="20"/>
                <w:szCs w:val="20"/>
              </w:rPr>
            </w:pPr>
          </w:p>
        </w:tc>
        <w:tc>
          <w:tcPr>
            <w:tcW w:w="786" w:type="dxa"/>
            <w:shd w:val="clear" w:color="auto" w:fill="BFBFBF" w:themeFill="background1" w:themeFillShade="BF"/>
            <w:tcMar>
              <w:left w:w="58" w:type="dxa"/>
            </w:tcMar>
          </w:tcPr>
          <w:p w:rsidR="00762C45" w:rsidRDefault="00762C45">
            <w:pPr>
              <w:rPr>
                <w:rFonts w:eastAsia="Times New Roman"/>
                <w:sz w:val="20"/>
                <w:szCs w:val="20"/>
              </w:rPr>
            </w:pPr>
          </w:p>
        </w:tc>
        <w:tc>
          <w:tcPr>
            <w:tcW w:w="751" w:type="dxa"/>
            <w:shd w:val="clear" w:color="auto" w:fill="BFBFBF" w:themeFill="background1" w:themeFillShade="BF"/>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Elaboração de relatório sobre os resultados obtidos</w:t>
            </w:r>
          </w:p>
        </w:tc>
        <w:tc>
          <w:tcPr>
            <w:tcW w:w="938" w:type="dxa"/>
            <w:shd w:val="clear" w:color="auto" w:fill="auto"/>
            <w:tcMar>
              <w:left w:w="58" w:type="dxa"/>
            </w:tcMar>
          </w:tcPr>
          <w:p w:rsidR="00762C45" w:rsidRDefault="00762C45">
            <w:pPr>
              <w:rPr>
                <w:rFonts w:eastAsia="Times New Roman"/>
                <w:sz w:val="20"/>
                <w:szCs w:val="20"/>
              </w:rPr>
            </w:pPr>
          </w:p>
        </w:tc>
        <w:tc>
          <w:tcPr>
            <w:tcW w:w="786" w:type="dxa"/>
            <w:shd w:val="clear" w:color="auto" w:fill="auto"/>
            <w:tcMar>
              <w:left w:w="58" w:type="dxa"/>
            </w:tcMar>
          </w:tcPr>
          <w:p w:rsidR="00762C45" w:rsidRDefault="00303B66">
            <w:pPr>
              <w:jc w:val="center"/>
              <w:rPr>
                <w:rFonts w:eastAsia="Times New Roman"/>
                <w:sz w:val="20"/>
                <w:szCs w:val="20"/>
              </w:rPr>
            </w:pPr>
            <w:r>
              <w:rPr>
                <w:rFonts w:eastAsia="Times New Roman"/>
                <w:sz w:val="20"/>
                <w:szCs w:val="20"/>
              </w:rPr>
              <w:t>x</w:t>
            </w:r>
          </w:p>
        </w:tc>
        <w:tc>
          <w:tcPr>
            <w:tcW w:w="751" w:type="dxa"/>
            <w:shd w:val="clear" w:color="auto" w:fill="auto"/>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Processo de sensibilização da comunidade através de seminários, discussão em grupos por tema, oficina, objetivando discutir os resultados circunscritos no relatório</w:t>
            </w:r>
          </w:p>
        </w:tc>
        <w:tc>
          <w:tcPr>
            <w:tcW w:w="938" w:type="dxa"/>
            <w:shd w:val="clear" w:color="auto" w:fill="BFBFBF" w:themeFill="background1" w:themeFillShade="BF"/>
            <w:tcMar>
              <w:left w:w="58" w:type="dxa"/>
            </w:tcMar>
          </w:tcPr>
          <w:p w:rsidR="00762C45" w:rsidRDefault="00762C45">
            <w:pPr>
              <w:rPr>
                <w:rFonts w:eastAsia="Times New Roman"/>
                <w:sz w:val="20"/>
                <w:szCs w:val="20"/>
              </w:rPr>
            </w:pPr>
          </w:p>
        </w:tc>
        <w:tc>
          <w:tcPr>
            <w:tcW w:w="786" w:type="dxa"/>
            <w:shd w:val="clear" w:color="auto" w:fill="BFBFBF" w:themeFill="background1" w:themeFillShade="BF"/>
            <w:tcMar>
              <w:left w:w="58" w:type="dxa"/>
            </w:tcMar>
          </w:tcPr>
          <w:p w:rsidR="00762C45" w:rsidRDefault="00762C45">
            <w:pPr>
              <w:rPr>
                <w:rFonts w:eastAsia="Times New Roman"/>
                <w:sz w:val="20"/>
                <w:szCs w:val="20"/>
              </w:rPr>
            </w:pPr>
          </w:p>
        </w:tc>
        <w:tc>
          <w:tcPr>
            <w:tcW w:w="751" w:type="dxa"/>
            <w:shd w:val="clear" w:color="auto" w:fill="BFBFBF" w:themeFill="background1" w:themeFillShade="BF"/>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 xml:space="preserve">Processo de avaliação externa com envolvimento da sociedade </w:t>
            </w:r>
          </w:p>
        </w:tc>
        <w:tc>
          <w:tcPr>
            <w:tcW w:w="938" w:type="dxa"/>
            <w:shd w:val="clear" w:color="auto" w:fill="auto"/>
            <w:tcMar>
              <w:left w:w="58" w:type="dxa"/>
            </w:tcMar>
          </w:tcPr>
          <w:p w:rsidR="00762C45" w:rsidRDefault="00762C45">
            <w:pPr>
              <w:rPr>
                <w:rFonts w:eastAsia="Times New Roman"/>
                <w:sz w:val="20"/>
                <w:szCs w:val="20"/>
              </w:rPr>
            </w:pPr>
          </w:p>
        </w:tc>
        <w:tc>
          <w:tcPr>
            <w:tcW w:w="786" w:type="dxa"/>
            <w:shd w:val="clear" w:color="auto" w:fill="BFBFBF" w:themeFill="background1" w:themeFillShade="BF"/>
            <w:tcMar>
              <w:left w:w="58" w:type="dxa"/>
            </w:tcMar>
          </w:tcPr>
          <w:p w:rsidR="00762C45" w:rsidRDefault="00762C45">
            <w:pPr>
              <w:rPr>
                <w:rFonts w:eastAsia="Times New Roman"/>
                <w:sz w:val="20"/>
                <w:szCs w:val="20"/>
              </w:rPr>
            </w:pPr>
          </w:p>
        </w:tc>
        <w:tc>
          <w:tcPr>
            <w:tcW w:w="751" w:type="dxa"/>
            <w:shd w:val="clear" w:color="auto" w:fill="BFBFBF" w:themeFill="background1" w:themeFillShade="BF"/>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Coleta de depoimentos</w:t>
            </w:r>
          </w:p>
        </w:tc>
        <w:tc>
          <w:tcPr>
            <w:tcW w:w="938" w:type="dxa"/>
            <w:shd w:val="clear" w:color="auto" w:fill="auto"/>
            <w:tcMar>
              <w:left w:w="58" w:type="dxa"/>
            </w:tcMar>
          </w:tcPr>
          <w:p w:rsidR="00762C45" w:rsidRDefault="00762C45">
            <w:pPr>
              <w:rPr>
                <w:rFonts w:eastAsia="Times New Roman"/>
                <w:sz w:val="20"/>
                <w:szCs w:val="20"/>
              </w:rPr>
            </w:pPr>
          </w:p>
        </w:tc>
        <w:tc>
          <w:tcPr>
            <w:tcW w:w="786" w:type="dxa"/>
            <w:shd w:val="clear" w:color="auto" w:fill="BFBFBF" w:themeFill="background1" w:themeFillShade="BF"/>
            <w:tcMar>
              <w:left w:w="58" w:type="dxa"/>
            </w:tcMar>
          </w:tcPr>
          <w:p w:rsidR="00762C45" w:rsidRDefault="00762C45">
            <w:pPr>
              <w:rPr>
                <w:rFonts w:eastAsia="Times New Roman"/>
                <w:sz w:val="20"/>
                <w:szCs w:val="20"/>
              </w:rPr>
            </w:pPr>
          </w:p>
        </w:tc>
        <w:tc>
          <w:tcPr>
            <w:tcW w:w="751" w:type="dxa"/>
            <w:shd w:val="clear" w:color="auto" w:fill="BFBFBF" w:themeFill="background1" w:themeFillShade="BF"/>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Reuniões para discussão dos resultados obtidos</w:t>
            </w:r>
          </w:p>
        </w:tc>
        <w:tc>
          <w:tcPr>
            <w:tcW w:w="938" w:type="dxa"/>
            <w:shd w:val="clear" w:color="auto" w:fill="auto"/>
            <w:tcMar>
              <w:left w:w="58" w:type="dxa"/>
            </w:tcMar>
          </w:tcPr>
          <w:p w:rsidR="00762C45" w:rsidRDefault="00762C45">
            <w:pPr>
              <w:rPr>
                <w:rFonts w:eastAsia="Times New Roman"/>
                <w:sz w:val="20"/>
                <w:szCs w:val="20"/>
              </w:rPr>
            </w:pPr>
          </w:p>
        </w:tc>
        <w:tc>
          <w:tcPr>
            <w:tcW w:w="786" w:type="dxa"/>
            <w:shd w:val="clear" w:color="auto" w:fill="BFBFBF" w:themeFill="background1" w:themeFillShade="BF"/>
            <w:tcMar>
              <w:left w:w="58" w:type="dxa"/>
            </w:tcMar>
          </w:tcPr>
          <w:p w:rsidR="00762C45" w:rsidRDefault="00762C45">
            <w:pPr>
              <w:rPr>
                <w:rFonts w:eastAsia="Times New Roman"/>
                <w:sz w:val="20"/>
                <w:szCs w:val="20"/>
              </w:rPr>
            </w:pPr>
          </w:p>
        </w:tc>
        <w:tc>
          <w:tcPr>
            <w:tcW w:w="751" w:type="dxa"/>
            <w:shd w:val="clear" w:color="auto" w:fill="BFBFBF" w:themeFill="background1" w:themeFillShade="BF"/>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Estabelecer mecanismos de divulgação dos resultados obtidos para a comunidade interna e externa</w:t>
            </w:r>
          </w:p>
        </w:tc>
        <w:tc>
          <w:tcPr>
            <w:tcW w:w="938" w:type="dxa"/>
            <w:shd w:val="clear" w:color="auto" w:fill="auto"/>
            <w:tcMar>
              <w:left w:w="58" w:type="dxa"/>
            </w:tcMar>
          </w:tcPr>
          <w:p w:rsidR="00762C45" w:rsidRDefault="00762C45">
            <w:pPr>
              <w:rPr>
                <w:rFonts w:eastAsia="Times New Roman"/>
                <w:sz w:val="20"/>
                <w:szCs w:val="20"/>
              </w:rPr>
            </w:pPr>
          </w:p>
        </w:tc>
        <w:tc>
          <w:tcPr>
            <w:tcW w:w="786" w:type="dxa"/>
            <w:shd w:val="clear" w:color="auto" w:fill="BFBFBF" w:themeFill="background1" w:themeFillShade="BF"/>
            <w:tcMar>
              <w:left w:w="58" w:type="dxa"/>
            </w:tcMar>
          </w:tcPr>
          <w:p w:rsidR="00762C45" w:rsidRDefault="00762C45">
            <w:pPr>
              <w:rPr>
                <w:rFonts w:eastAsia="Times New Roman"/>
                <w:sz w:val="20"/>
                <w:szCs w:val="20"/>
              </w:rPr>
            </w:pPr>
          </w:p>
        </w:tc>
        <w:tc>
          <w:tcPr>
            <w:tcW w:w="751" w:type="dxa"/>
            <w:shd w:val="clear" w:color="auto" w:fill="BFBFBF" w:themeFill="background1" w:themeFillShade="BF"/>
            <w:tcMar>
              <w:left w:w="58" w:type="dxa"/>
            </w:tcMar>
          </w:tcPr>
          <w:p w:rsidR="00762C45" w:rsidRDefault="00762C45">
            <w:pPr>
              <w:rPr>
                <w:rFonts w:eastAsia="Times New Roman"/>
                <w:sz w:val="20"/>
                <w:szCs w:val="20"/>
              </w:rPr>
            </w:pPr>
          </w:p>
        </w:tc>
      </w:tr>
      <w:tr w:rsidR="00762C45">
        <w:trPr>
          <w:jc w:val="center"/>
        </w:trPr>
        <w:tc>
          <w:tcPr>
            <w:tcW w:w="7809" w:type="dxa"/>
            <w:shd w:val="clear" w:color="auto" w:fill="auto"/>
            <w:tcMar>
              <w:left w:w="58" w:type="dxa"/>
            </w:tcMar>
          </w:tcPr>
          <w:p w:rsidR="00762C45" w:rsidRDefault="00303B66">
            <w:pPr>
              <w:jc w:val="both"/>
              <w:rPr>
                <w:rFonts w:eastAsia="Times New Roman"/>
                <w:sz w:val="20"/>
                <w:szCs w:val="20"/>
              </w:rPr>
            </w:pPr>
            <w:r>
              <w:rPr>
                <w:rFonts w:eastAsia="Times New Roman"/>
                <w:sz w:val="20"/>
                <w:szCs w:val="20"/>
              </w:rPr>
              <w:t>Elaboração do Relatório Anual Final</w:t>
            </w:r>
          </w:p>
        </w:tc>
        <w:tc>
          <w:tcPr>
            <w:tcW w:w="938" w:type="dxa"/>
            <w:shd w:val="clear" w:color="auto" w:fill="auto"/>
            <w:tcMar>
              <w:left w:w="58" w:type="dxa"/>
            </w:tcMar>
          </w:tcPr>
          <w:p w:rsidR="00762C45" w:rsidRDefault="00762C45">
            <w:pPr>
              <w:rPr>
                <w:rFonts w:eastAsia="Times New Roman"/>
                <w:sz w:val="20"/>
                <w:szCs w:val="20"/>
              </w:rPr>
            </w:pPr>
          </w:p>
        </w:tc>
        <w:tc>
          <w:tcPr>
            <w:tcW w:w="786" w:type="dxa"/>
            <w:shd w:val="clear" w:color="auto" w:fill="BFBFBF" w:themeFill="background1" w:themeFillShade="BF"/>
            <w:tcMar>
              <w:left w:w="58" w:type="dxa"/>
            </w:tcMar>
          </w:tcPr>
          <w:p w:rsidR="00762C45" w:rsidRDefault="00762C45">
            <w:pPr>
              <w:rPr>
                <w:rFonts w:eastAsia="Times New Roman"/>
                <w:sz w:val="20"/>
                <w:szCs w:val="20"/>
              </w:rPr>
            </w:pPr>
          </w:p>
        </w:tc>
        <w:tc>
          <w:tcPr>
            <w:tcW w:w="751" w:type="dxa"/>
            <w:shd w:val="clear" w:color="auto" w:fill="BFBFBF" w:themeFill="background1" w:themeFillShade="BF"/>
            <w:tcMar>
              <w:left w:w="58" w:type="dxa"/>
            </w:tcMar>
          </w:tcPr>
          <w:p w:rsidR="00762C45" w:rsidRDefault="00762C45">
            <w:pPr>
              <w:rPr>
                <w:rFonts w:eastAsia="Times New Roman"/>
                <w:sz w:val="20"/>
                <w:szCs w:val="20"/>
              </w:rPr>
            </w:pPr>
          </w:p>
        </w:tc>
      </w:tr>
    </w:tbl>
    <w:p w:rsidR="00762C45" w:rsidRDefault="00762C45">
      <w:pPr>
        <w:ind w:left="360"/>
        <w:jc w:val="both"/>
        <w:rPr>
          <w:b/>
          <w:bCs/>
          <w:sz w:val="22"/>
          <w:szCs w:val="22"/>
        </w:rPr>
      </w:pPr>
    </w:p>
    <w:p w:rsidR="00762C45" w:rsidRDefault="00303B66">
      <w:pPr>
        <w:pStyle w:val="Ttulo1"/>
        <w:rPr>
          <w:sz w:val="22"/>
          <w:szCs w:val="22"/>
        </w:rPr>
      </w:pPr>
      <w:bookmarkStart w:id="23" w:name="_Toc474391172"/>
      <w:bookmarkEnd w:id="23"/>
      <w:r>
        <w:rPr>
          <w:b/>
          <w:bCs/>
          <w:sz w:val="22"/>
          <w:szCs w:val="22"/>
        </w:rPr>
        <w:t>3. POLÍTICAS ACADÊMICAS</w:t>
      </w:r>
    </w:p>
    <w:p w:rsidR="00762C45" w:rsidRDefault="00762C45">
      <w:pPr>
        <w:jc w:val="both"/>
        <w:rPr>
          <w:sz w:val="22"/>
          <w:szCs w:val="22"/>
        </w:rPr>
      </w:pPr>
    </w:p>
    <w:p w:rsidR="00762C45" w:rsidRDefault="00303B66">
      <w:pPr>
        <w:ind w:firstLine="567"/>
        <w:jc w:val="both"/>
        <w:rPr>
          <w:sz w:val="22"/>
          <w:szCs w:val="22"/>
        </w:rPr>
      </w:pPr>
      <w:r>
        <w:rPr>
          <w:color w:val="000000"/>
          <w:sz w:val="22"/>
          <w:szCs w:val="22"/>
        </w:rPr>
        <w:t>O</w:t>
      </w:r>
      <w:r>
        <w:rPr>
          <w:color w:val="FF0000"/>
          <w:sz w:val="22"/>
          <w:szCs w:val="22"/>
        </w:rPr>
        <w:t xml:space="preserve"> </w:t>
      </w:r>
      <w:r>
        <w:rPr>
          <w:i/>
          <w:iCs/>
          <w:sz w:val="22"/>
          <w:szCs w:val="22"/>
        </w:rPr>
        <w:t>Campus</w:t>
      </w:r>
      <w:r>
        <w:rPr>
          <w:sz w:val="22"/>
          <w:szCs w:val="22"/>
        </w:rPr>
        <w:t xml:space="preserve"> Avançado Vigia promove a educação profissional e tecnológica que leva em consideração a diversidade e as especificidades culturais, sociais, ambientais e econômicas das populações da sua área de abrangência e as decorrentes da atuação dos profissionais formados nos seus cursos, tendo como princípios o trabalho, a pesquisa e a autonomia numa relação entre teoria e prática. </w:t>
      </w:r>
    </w:p>
    <w:p w:rsidR="00762C45" w:rsidRDefault="00762C45">
      <w:pPr>
        <w:ind w:firstLine="567"/>
        <w:jc w:val="both"/>
        <w:rPr>
          <w:sz w:val="22"/>
          <w:szCs w:val="22"/>
        </w:rPr>
      </w:pPr>
    </w:p>
    <w:p w:rsidR="00762C45" w:rsidRDefault="00303B66">
      <w:pPr>
        <w:pStyle w:val="Estilo4"/>
        <w:jc w:val="both"/>
        <w:rPr>
          <w:b/>
        </w:rPr>
      </w:pPr>
      <w:bookmarkStart w:id="24" w:name="_Toc474391173"/>
      <w:r>
        <w:rPr>
          <w:b/>
        </w:rPr>
        <w:t>3.1 Políticas de Ensino e Ações Acadêmico-Administrativas para os Cursos de Educação Básica e Profissional</w:t>
      </w:r>
      <w:bookmarkEnd w:id="24"/>
      <w:r>
        <w:rPr>
          <w:b/>
        </w:rPr>
        <w:t xml:space="preserve"> </w:t>
      </w:r>
    </w:p>
    <w:p w:rsidR="00762C45" w:rsidRDefault="00762C45">
      <w:pPr>
        <w:jc w:val="both"/>
        <w:rPr>
          <w:sz w:val="22"/>
          <w:szCs w:val="22"/>
        </w:rPr>
      </w:pPr>
    </w:p>
    <w:p w:rsidR="00762C45" w:rsidRDefault="00303B66">
      <w:pPr>
        <w:ind w:firstLine="567"/>
        <w:jc w:val="both"/>
        <w:rPr>
          <w:sz w:val="22"/>
          <w:szCs w:val="22"/>
        </w:rPr>
      </w:pPr>
      <w:r>
        <w:rPr>
          <w:sz w:val="22"/>
          <w:szCs w:val="22"/>
        </w:rPr>
        <w:t xml:space="preserve">As políticas para o ensino no </w:t>
      </w:r>
      <w:r>
        <w:rPr>
          <w:i/>
          <w:sz w:val="22"/>
          <w:szCs w:val="22"/>
        </w:rPr>
        <w:t>Campus</w:t>
      </w:r>
      <w:r>
        <w:rPr>
          <w:sz w:val="22"/>
          <w:szCs w:val="22"/>
        </w:rPr>
        <w:t xml:space="preserve"> Avançado Vigia estão fundamentadas nos princípios filosóficos e pedagógicos da Educação Profissional e Tecnológica e da Educação do Campo, através da proposta pedagógica freireana via tema gerador e o princípio da alternância pedagógica, a partir dos quais pauta o desenvolvimento das ações teórico-metodológicas do ensino nos cursos e programas realizados pela instituição e orientam as parcerias político-institucionais. </w:t>
      </w:r>
    </w:p>
    <w:p w:rsidR="00762C45" w:rsidRDefault="00303B66">
      <w:pPr>
        <w:ind w:firstLine="567"/>
        <w:jc w:val="both"/>
        <w:rPr>
          <w:sz w:val="22"/>
          <w:szCs w:val="22"/>
        </w:rPr>
      </w:pPr>
      <w:r>
        <w:rPr>
          <w:sz w:val="22"/>
          <w:szCs w:val="22"/>
        </w:rPr>
        <w:t>O compromisso do CAV visa contribuir com o desenvolvimento da sociedade, a manutenção da sintonia entre as ofertas e as demandas advindas dos arranjos produtivos econômicos, sociais e culturais dos municípios da sua região de abrangência, na qual os tipos de produção que se destacam, de forma considerável, são:</w:t>
      </w:r>
    </w:p>
    <w:p w:rsidR="00762C45" w:rsidRDefault="00303B66">
      <w:pPr>
        <w:tabs>
          <w:tab w:val="left" w:pos="278"/>
        </w:tabs>
        <w:jc w:val="both"/>
        <w:rPr>
          <w:sz w:val="22"/>
          <w:szCs w:val="22"/>
        </w:rPr>
      </w:pPr>
      <w:r>
        <w:rPr>
          <w:b/>
          <w:bCs/>
          <w:sz w:val="22"/>
          <w:szCs w:val="22"/>
        </w:rPr>
        <w:t>i)</w:t>
      </w:r>
      <w:r>
        <w:rPr>
          <w:b/>
          <w:bCs/>
          <w:sz w:val="22"/>
          <w:szCs w:val="22"/>
        </w:rPr>
        <w:tab/>
        <w:t>Pesca artesanal:</w:t>
      </w:r>
      <w:r>
        <w:rPr>
          <w:sz w:val="22"/>
          <w:szCs w:val="22"/>
        </w:rPr>
        <w:t xml:space="preserve"> com 87% da produção nacional, o município de Vigia é o principal porto de desembarque de pescado. Em todo o estado do Pará são mais de 77.133 pescadores e desses mais de 80% (62.139) possuem apenas o ensino fundamental incompleto, 3,93% (3.028) o ensino médio e 6,63% (5.113) são analfabetos. (SEAP/PR, 2006). O Gráfico 1 destaca a evolução da Produção Mundial de Pescado (Aquicultura e Pesca) e o Gráfico 2, o número de piscicultores da área de abrangência do CAV.</w:t>
      </w:r>
    </w:p>
    <w:p w:rsidR="00762C45" w:rsidRDefault="00762C45">
      <w:pPr>
        <w:tabs>
          <w:tab w:val="left" w:pos="278"/>
        </w:tabs>
        <w:jc w:val="both"/>
      </w:pPr>
    </w:p>
    <w:p w:rsidR="00762C45" w:rsidRDefault="00303B66">
      <w:pPr>
        <w:keepNext/>
        <w:jc w:val="center"/>
      </w:pPr>
      <w:r>
        <w:rPr>
          <w:noProof/>
        </w:rPr>
        <w:lastRenderedPageBreak/>
        <w:drawing>
          <wp:inline distT="0" distB="0" distL="0" distR="0">
            <wp:extent cx="2505710" cy="1864995"/>
            <wp:effectExtent l="0" t="0" r="0" b="0"/>
            <wp:docPr id="5"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4"/>
                    <pic:cNvPicPr>
                      <a:picLocks noChangeAspect="1" noChangeArrowheads="1"/>
                    </pic:cNvPicPr>
                  </pic:nvPicPr>
                  <pic:blipFill>
                    <a:blip r:embed="rId11"/>
                    <a:stretch>
                      <a:fillRect/>
                    </a:stretch>
                  </pic:blipFill>
                  <pic:spPr bwMode="auto">
                    <a:xfrm>
                      <a:off x="0" y="0"/>
                      <a:ext cx="2505710" cy="1864995"/>
                    </a:xfrm>
                    <a:prstGeom prst="rect">
                      <a:avLst/>
                    </a:prstGeom>
                  </pic:spPr>
                </pic:pic>
              </a:graphicData>
            </a:graphic>
          </wp:inline>
        </w:drawing>
      </w:r>
    </w:p>
    <w:p w:rsidR="00762C45" w:rsidRDefault="00303B66">
      <w:pPr>
        <w:pStyle w:val="Legenda"/>
        <w:spacing w:before="0" w:after="0" w:line="240" w:lineRule="auto"/>
        <w:ind w:left="0" w:firstLine="0"/>
        <w:jc w:val="center"/>
      </w:pPr>
      <w:r>
        <w:rPr>
          <w:rFonts w:ascii="Times New Roman" w:hAnsi="Times New Roman" w:cs="Times New Roman"/>
          <w:b/>
          <w:i w:val="0"/>
          <w:sz w:val="20"/>
          <w:szCs w:val="20"/>
        </w:rPr>
        <w:t xml:space="preserve">Gráfico </w:t>
      </w:r>
      <w:r>
        <w:rPr>
          <w:rFonts w:ascii="Times New Roman" w:hAnsi="Times New Roman" w:cs="Times New Roman"/>
          <w:b/>
          <w:i w:val="0"/>
          <w:sz w:val="20"/>
          <w:szCs w:val="20"/>
        </w:rPr>
        <w:fldChar w:fldCharType="begin"/>
      </w:r>
      <w:r>
        <w:instrText>SEQ Gráfico \* ARABIC</w:instrText>
      </w:r>
      <w:r>
        <w:fldChar w:fldCharType="separate"/>
      </w:r>
      <w:r>
        <w:rPr>
          <w:noProof/>
        </w:rPr>
        <w:t>1</w:t>
      </w:r>
      <w:r>
        <w:fldChar w:fldCharType="end"/>
      </w:r>
      <w:r>
        <w:rPr>
          <w:rFonts w:ascii="Times New Roman" w:hAnsi="Times New Roman" w:cs="Times New Roman"/>
          <w:b/>
          <w:i w:val="0"/>
          <w:sz w:val="20"/>
          <w:szCs w:val="20"/>
        </w:rPr>
        <w:t>.</w:t>
      </w:r>
      <w:r>
        <w:rPr>
          <w:rFonts w:ascii="Times New Roman" w:hAnsi="Times New Roman" w:cs="Times New Roman"/>
          <w:i w:val="0"/>
          <w:sz w:val="20"/>
          <w:szCs w:val="20"/>
        </w:rPr>
        <w:t xml:space="preserve"> Evolução da Produção Mundial de Pescado</w:t>
      </w:r>
    </w:p>
    <w:p w:rsidR="00762C45" w:rsidRDefault="00762C45">
      <w:pPr>
        <w:pStyle w:val="Legenda"/>
        <w:spacing w:before="0" w:after="0" w:line="240" w:lineRule="auto"/>
        <w:ind w:left="0"/>
        <w:jc w:val="center"/>
        <w:rPr>
          <w:rFonts w:ascii="Times New Roman" w:hAnsi="Times New Roman" w:cs="Times New Roman"/>
          <w:i w:val="0"/>
          <w:sz w:val="22"/>
          <w:szCs w:val="22"/>
        </w:rPr>
      </w:pPr>
    </w:p>
    <w:p w:rsidR="00762C45" w:rsidRDefault="00303B66">
      <w:pPr>
        <w:jc w:val="center"/>
        <w:rPr>
          <w:b/>
          <w:bCs/>
          <w:sz w:val="20"/>
          <w:szCs w:val="20"/>
        </w:rPr>
      </w:pPr>
      <w:r>
        <w:rPr>
          <w:noProof/>
        </w:rPr>
        <w:drawing>
          <wp:inline distT="0" distB="0" distL="0" distR="0">
            <wp:extent cx="3265805" cy="2266950"/>
            <wp:effectExtent l="0" t="0" r="0" b="0"/>
            <wp:docPr id="6"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5"/>
                    <pic:cNvPicPr>
                      <a:picLocks noChangeAspect="1" noChangeArrowheads="1"/>
                    </pic:cNvPicPr>
                  </pic:nvPicPr>
                  <pic:blipFill>
                    <a:blip r:embed="rId12"/>
                    <a:stretch>
                      <a:fillRect/>
                    </a:stretch>
                  </pic:blipFill>
                  <pic:spPr bwMode="auto">
                    <a:xfrm>
                      <a:off x="0" y="0"/>
                      <a:ext cx="3265805" cy="2266950"/>
                    </a:xfrm>
                    <a:prstGeom prst="rect">
                      <a:avLst/>
                    </a:prstGeom>
                  </pic:spPr>
                </pic:pic>
              </a:graphicData>
            </a:graphic>
          </wp:inline>
        </w:drawing>
      </w:r>
    </w:p>
    <w:p w:rsidR="00762C45" w:rsidRDefault="00303B66">
      <w:pPr>
        <w:pStyle w:val="Legenda"/>
        <w:spacing w:before="0" w:after="0" w:line="240" w:lineRule="auto"/>
        <w:ind w:left="0" w:firstLine="0"/>
        <w:jc w:val="center"/>
      </w:pPr>
      <w:r>
        <w:rPr>
          <w:rFonts w:ascii="Times New Roman" w:hAnsi="Times New Roman" w:cs="Times New Roman"/>
          <w:b/>
          <w:i w:val="0"/>
          <w:sz w:val="20"/>
          <w:szCs w:val="20"/>
        </w:rPr>
        <w:t xml:space="preserve">Gráfico </w:t>
      </w:r>
      <w:r>
        <w:rPr>
          <w:rFonts w:ascii="Times New Roman" w:hAnsi="Times New Roman" w:cs="Times New Roman"/>
          <w:b/>
          <w:i w:val="0"/>
          <w:sz w:val="20"/>
          <w:szCs w:val="20"/>
        </w:rPr>
        <w:fldChar w:fldCharType="begin"/>
      </w:r>
      <w:r>
        <w:instrText>SEQ Gráfico \* ARABIC</w:instrText>
      </w:r>
      <w:r>
        <w:fldChar w:fldCharType="separate"/>
      </w:r>
      <w:r>
        <w:rPr>
          <w:noProof/>
        </w:rPr>
        <w:t>2</w:t>
      </w:r>
      <w:r>
        <w:fldChar w:fldCharType="end"/>
      </w:r>
      <w:r>
        <w:rPr>
          <w:rFonts w:ascii="Times New Roman" w:hAnsi="Times New Roman" w:cs="Times New Roman"/>
          <w:b/>
          <w:i w:val="0"/>
          <w:sz w:val="20"/>
          <w:szCs w:val="20"/>
        </w:rPr>
        <w:t>. Distribuição dos piscicultores na áarea de abrangência do CAV</w:t>
      </w:r>
    </w:p>
    <w:p w:rsidR="00762C45" w:rsidRDefault="00762C45">
      <w:pPr>
        <w:pStyle w:val="Legenda"/>
        <w:spacing w:before="0" w:after="0" w:line="240" w:lineRule="auto"/>
        <w:ind w:left="0"/>
        <w:jc w:val="center"/>
        <w:rPr>
          <w:rFonts w:ascii="Times New Roman" w:hAnsi="Times New Roman" w:cs="Times New Roman"/>
          <w:b/>
          <w:i w:val="0"/>
          <w:sz w:val="20"/>
          <w:szCs w:val="20"/>
        </w:rPr>
      </w:pPr>
    </w:p>
    <w:p w:rsidR="00762C45" w:rsidRDefault="00303B66">
      <w:pPr>
        <w:tabs>
          <w:tab w:val="left" w:pos="230"/>
        </w:tabs>
        <w:jc w:val="both"/>
        <w:rPr>
          <w:sz w:val="22"/>
          <w:szCs w:val="22"/>
        </w:rPr>
      </w:pPr>
      <w:r>
        <w:rPr>
          <w:b/>
          <w:bCs/>
          <w:sz w:val="22"/>
          <w:szCs w:val="22"/>
        </w:rPr>
        <w:t>ii)</w:t>
      </w:r>
      <w:r>
        <w:rPr>
          <w:b/>
          <w:bCs/>
          <w:sz w:val="22"/>
          <w:szCs w:val="22"/>
        </w:rPr>
        <w:tab/>
        <w:t xml:space="preserve"> Turismo: </w:t>
      </w:r>
      <w:r>
        <w:rPr>
          <w:sz w:val="22"/>
          <w:szCs w:val="22"/>
        </w:rPr>
        <w:t>Vigia de Nazaré faz parte do Polo Turístico do Pará, sendo um município de cultura viva (escritores, poetas), de festas (religiosas e pagãs), de ritmos (carimbó), de cores e sabores presentes no dia-a-dia de sua população;</w:t>
      </w:r>
    </w:p>
    <w:p w:rsidR="00762C45" w:rsidRDefault="00303B66">
      <w:pPr>
        <w:jc w:val="both"/>
        <w:rPr>
          <w:sz w:val="22"/>
          <w:szCs w:val="22"/>
        </w:rPr>
      </w:pPr>
      <w:r>
        <w:rPr>
          <w:b/>
          <w:bCs/>
          <w:sz w:val="22"/>
          <w:szCs w:val="22"/>
        </w:rPr>
        <w:t>iii) Agricultura, pecuária, silvicultura e extrativismo:</w:t>
      </w:r>
      <w:r>
        <w:rPr>
          <w:sz w:val="22"/>
          <w:szCs w:val="22"/>
        </w:rPr>
        <w:t xml:space="preserve"> em desenvolvimento e com grande potencial  na produção de culturas anuais (mandioca, milho, arroz e feijão), lavouras permanentes (açaí, mamão, pimenta do reino, dendê, cupuaçu, limão, laranja, maracujá, acerola e coco). Os dados no período de 2000 a 2012, chamam atenção para o município de Santo Antonio do Tauá, que tem área limítrofe com o município de Vigia, na produção de mais de 88% de óleo dendê no </w:t>
      </w:r>
      <w:r>
        <w:rPr>
          <w:color w:val="000000"/>
          <w:sz w:val="22"/>
          <w:szCs w:val="22"/>
        </w:rPr>
        <w:t>estado do Pará.</w:t>
      </w:r>
    </w:p>
    <w:p w:rsidR="00762C45" w:rsidRDefault="00303B66">
      <w:pPr>
        <w:ind w:firstLine="567"/>
        <w:jc w:val="both"/>
        <w:rPr>
          <w:sz w:val="22"/>
          <w:szCs w:val="22"/>
        </w:rPr>
      </w:pPr>
      <w:r>
        <w:rPr>
          <w:sz w:val="22"/>
          <w:szCs w:val="22"/>
        </w:rPr>
        <w:t>Através de uma Audiência pública realizada</w:t>
      </w:r>
      <w:r>
        <w:rPr>
          <w:b/>
          <w:bCs/>
          <w:sz w:val="22"/>
          <w:szCs w:val="22"/>
        </w:rPr>
        <w:t xml:space="preserve"> </w:t>
      </w:r>
      <w:r>
        <w:rPr>
          <w:sz w:val="22"/>
          <w:szCs w:val="22"/>
        </w:rPr>
        <w:t xml:space="preserve">em agosto de 2016 foram registradas demandas voltadas para alfabetização de pescadores, oferta de ensino nos níveis fundamental, médio e superior nas </w:t>
      </w:r>
      <w:r>
        <w:rPr>
          <w:b/>
          <w:bCs/>
          <w:sz w:val="22"/>
          <w:szCs w:val="22"/>
        </w:rPr>
        <w:t>áreas de pesca</w:t>
      </w:r>
      <w:r>
        <w:rPr>
          <w:sz w:val="22"/>
          <w:szCs w:val="22"/>
        </w:rPr>
        <w:t xml:space="preserve">, </w:t>
      </w:r>
      <w:r>
        <w:rPr>
          <w:b/>
          <w:bCs/>
          <w:sz w:val="22"/>
          <w:szCs w:val="22"/>
        </w:rPr>
        <w:t>agropecuária</w:t>
      </w:r>
      <w:r>
        <w:rPr>
          <w:sz w:val="22"/>
          <w:szCs w:val="22"/>
        </w:rPr>
        <w:t xml:space="preserve">, </w:t>
      </w:r>
      <w:r>
        <w:rPr>
          <w:b/>
          <w:bCs/>
          <w:sz w:val="22"/>
          <w:szCs w:val="22"/>
        </w:rPr>
        <w:t>turismo</w:t>
      </w:r>
      <w:r>
        <w:rPr>
          <w:sz w:val="22"/>
          <w:szCs w:val="22"/>
        </w:rPr>
        <w:t xml:space="preserve">, </w:t>
      </w:r>
      <w:r>
        <w:rPr>
          <w:b/>
          <w:bCs/>
          <w:sz w:val="22"/>
          <w:szCs w:val="22"/>
        </w:rPr>
        <w:t xml:space="preserve">eventos, informática, música e mecânica de motores a diesel. </w:t>
      </w:r>
    </w:p>
    <w:p w:rsidR="00762C45" w:rsidRDefault="00303B66">
      <w:pPr>
        <w:ind w:firstLine="567"/>
        <w:jc w:val="both"/>
        <w:rPr>
          <w:sz w:val="22"/>
          <w:szCs w:val="22"/>
        </w:rPr>
      </w:pPr>
      <w:r>
        <w:rPr>
          <w:color w:val="000000"/>
          <w:sz w:val="22"/>
          <w:szCs w:val="22"/>
        </w:rPr>
        <w:t>Também foi realizada uma pesquisa socioantropológica</w:t>
      </w:r>
      <w:r>
        <w:rPr>
          <w:b/>
          <w:bCs/>
          <w:color w:val="000000"/>
          <w:sz w:val="22"/>
          <w:szCs w:val="22"/>
        </w:rPr>
        <w:t xml:space="preserve"> </w:t>
      </w:r>
      <w:r>
        <w:rPr>
          <w:color w:val="000000"/>
          <w:sz w:val="22"/>
          <w:szCs w:val="22"/>
        </w:rPr>
        <w:t>que, além do</w:t>
      </w:r>
      <w:r>
        <w:rPr>
          <w:b/>
          <w:bCs/>
          <w:color w:val="000000"/>
          <w:sz w:val="22"/>
          <w:szCs w:val="22"/>
        </w:rPr>
        <w:t xml:space="preserve"> </w:t>
      </w:r>
      <w:r>
        <w:rPr>
          <w:color w:val="000000"/>
          <w:sz w:val="22"/>
          <w:szCs w:val="22"/>
        </w:rPr>
        <w:t xml:space="preserve">levantamento de demandas, forneceu subsídios para o </w:t>
      </w:r>
      <w:r>
        <w:rPr>
          <w:sz w:val="22"/>
          <w:szCs w:val="22"/>
        </w:rPr>
        <w:t>planejamento curricular dos cursos e do tempo comunidade, que constitui um momento de pesquisa (diagnóstico) da realidade, na estrutura curricular dos cursos do CAV.</w:t>
      </w:r>
    </w:p>
    <w:p w:rsidR="00762C45" w:rsidRDefault="00303B66">
      <w:pPr>
        <w:ind w:firstLine="567"/>
        <w:jc w:val="both"/>
        <w:rPr>
          <w:sz w:val="22"/>
          <w:szCs w:val="22"/>
        </w:rPr>
      </w:pPr>
      <w:r>
        <w:rPr>
          <w:sz w:val="22"/>
          <w:szCs w:val="22"/>
        </w:rPr>
        <w:t xml:space="preserve">Apesar do diagnóstico da área de abrangência do </w:t>
      </w:r>
      <w:r>
        <w:rPr>
          <w:i/>
          <w:iCs/>
          <w:sz w:val="22"/>
          <w:szCs w:val="22"/>
        </w:rPr>
        <w:t>campus</w:t>
      </w:r>
      <w:r>
        <w:rPr>
          <w:sz w:val="22"/>
          <w:szCs w:val="22"/>
        </w:rPr>
        <w:t xml:space="preserve"> ainda não ter sido finalizado os dados levantados, de forma preliminar apontam, como prioridade, a oferta dos seguintes cursos por eixo tecnológico que compõe o Catálogo Nacional do MEC:  </w:t>
      </w:r>
    </w:p>
    <w:p w:rsidR="00762C45" w:rsidRDefault="00303B66">
      <w:pPr>
        <w:pStyle w:val="PargrafodaLista"/>
        <w:numPr>
          <w:ilvl w:val="0"/>
          <w:numId w:val="20"/>
        </w:numPr>
        <w:tabs>
          <w:tab w:val="left" w:pos="142"/>
        </w:tabs>
        <w:spacing w:line="240" w:lineRule="auto"/>
        <w:ind w:left="0" w:hanging="11"/>
        <w:rPr>
          <w:rFonts w:ascii="Times New Roman" w:hAnsi="Times New Roman" w:cs="Times New Roman"/>
          <w:b/>
          <w:bCs/>
          <w:sz w:val="22"/>
          <w:szCs w:val="22"/>
        </w:rPr>
      </w:pPr>
      <w:r>
        <w:rPr>
          <w:rFonts w:ascii="Times New Roman" w:hAnsi="Times New Roman" w:cs="Times New Roman"/>
          <w:sz w:val="22"/>
          <w:szCs w:val="22"/>
        </w:rPr>
        <w:t>Recursos Naturais</w:t>
      </w:r>
      <w:r>
        <w:rPr>
          <w:rFonts w:ascii="Times New Roman" w:hAnsi="Times New Roman" w:cs="Times New Roman"/>
          <w:b/>
          <w:bCs/>
          <w:sz w:val="22"/>
          <w:szCs w:val="22"/>
        </w:rPr>
        <w:t xml:space="preserve"> - Recursos Pesqueiros, Aquicultura e Agropecuária;</w:t>
      </w:r>
    </w:p>
    <w:p w:rsidR="00762C45" w:rsidRDefault="00303B66">
      <w:pPr>
        <w:pStyle w:val="PargrafodaLista"/>
        <w:numPr>
          <w:ilvl w:val="0"/>
          <w:numId w:val="20"/>
        </w:numPr>
        <w:tabs>
          <w:tab w:val="left" w:pos="142"/>
        </w:tabs>
        <w:spacing w:line="240" w:lineRule="auto"/>
        <w:ind w:left="0" w:hanging="11"/>
        <w:rPr>
          <w:rFonts w:ascii="Times New Roman" w:hAnsi="Times New Roman" w:cs="Times New Roman"/>
          <w:b/>
          <w:bCs/>
          <w:sz w:val="22"/>
          <w:szCs w:val="22"/>
        </w:rPr>
      </w:pPr>
      <w:r>
        <w:rPr>
          <w:rFonts w:ascii="Times New Roman" w:hAnsi="Times New Roman" w:cs="Times New Roman"/>
          <w:sz w:val="22"/>
          <w:szCs w:val="22"/>
        </w:rPr>
        <w:t>Turismo, Hospitalidade e Lazer</w:t>
      </w:r>
      <w:r>
        <w:rPr>
          <w:rFonts w:ascii="Times New Roman" w:hAnsi="Times New Roman" w:cs="Times New Roman"/>
          <w:b/>
          <w:bCs/>
          <w:sz w:val="22"/>
          <w:szCs w:val="22"/>
        </w:rPr>
        <w:t xml:space="preserve"> - Eventos e Gastronomia;</w:t>
      </w:r>
    </w:p>
    <w:p w:rsidR="00762C45" w:rsidRDefault="00303B66">
      <w:pPr>
        <w:pStyle w:val="PargrafodaLista"/>
        <w:numPr>
          <w:ilvl w:val="0"/>
          <w:numId w:val="20"/>
        </w:numPr>
        <w:tabs>
          <w:tab w:val="left" w:pos="142"/>
        </w:tabs>
        <w:spacing w:line="240" w:lineRule="auto"/>
        <w:ind w:left="0" w:hanging="11"/>
        <w:rPr>
          <w:rFonts w:ascii="Times New Roman" w:hAnsi="Times New Roman" w:cs="Times New Roman"/>
          <w:b/>
          <w:bCs/>
          <w:sz w:val="22"/>
          <w:szCs w:val="22"/>
        </w:rPr>
      </w:pPr>
      <w:r>
        <w:rPr>
          <w:rFonts w:ascii="Times New Roman" w:hAnsi="Times New Roman" w:cs="Times New Roman"/>
          <w:sz w:val="22"/>
          <w:szCs w:val="22"/>
        </w:rPr>
        <w:t xml:space="preserve">Informação e Comunicação – </w:t>
      </w:r>
      <w:r>
        <w:rPr>
          <w:rFonts w:ascii="Times New Roman" w:hAnsi="Times New Roman" w:cs="Times New Roman"/>
          <w:b/>
          <w:bCs/>
          <w:sz w:val="22"/>
          <w:szCs w:val="22"/>
        </w:rPr>
        <w:t>Informática</w:t>
      </w:r>
    </w:p>
    <w:p w:rsidR="00762C45" w:rsidRDefault="00303B66">
      <w:pPr>
        <w:ind w:firstLine="567"/>
        <w:jc w:val="both"/>
        <w:rPr>
          <w:sz w:val="22"/>
          <w:szCs w:val="22"/>
        </w:rPr>
      </w:pPr>
      <w:r>
        <w:rPr>
          <w:sz w:val="22"/>
          <w:szCs w:val="22"/>
        </w:rPr>
        <w:t>A atuação do C</w:t>
      </w:r>
      <w:r>
        <w:rPr>
          <w:i/>
          <w:iCs/>
          <w:sz w:val="22"/>
          <w:szCs w:val="22"/>
        </w:rPr>
        <w:t>ampus</w:t>
      </w:r>
      <w:r>
        <w:rPr>
          <w:sz w:val="22"/>
          <w:szCs w:val="22"/>
        </w:rPr>
        <w:t xml:space="preserve"> Avançado Vigia é voltada para a educação profissional e tecnológica nas modalidades </w:t>
      </w:r>
      <w:r>
        <w:rPr>
          <w:sz w:val="22"/>
          <w:szCs w:val="22"/>
        </w:rPr>
        <w:lastRenderedPageBreak/>
        <w:t xml:space="preserve">presencial e a distância, através da oferta de cursos técnicos subsequentes e de Formação Inicial Continuada (FIC) e PROEJA, cuja evolução e projeção de vagas são especificadas nos Quadros 03, 04 e 05 a seguir apresentados. </w:t>
      </w:r>
    </w:p>
    <w:p w:rsidR="00762C45" w:rsidRDefault="00762C45">
      <w:pPr>
        <w:ind w:firstLine="567"/>
        <w:jc w:val="both"/>
        <w:rPr>
          <w:sz w:val="20"/>
          <w:szCs w:val="20"/>
        </w:rPr>
      </w:pPr>
    </w:p>
    <w:p w:rsidR="00762C45" w:rsidRDefault="00303B66">
      <w:pPr>
        <w:jc w:val="center"/>
      </w:pPr>
      <w:bookmarkStart w:id="25" w:name="_Toc474391111"/>
      <w:bookmarkStart w:id="26" w:name="_Toc472974281"/>
      <w:r>
        <w:rPr>
          <w:b/>
          <w:sz w:val="20"/>
          <w:szCs w:val="20"/>
        </w:rPr>
        <w:t xml:space="preserve">Quadro </w:t>
      </w:r>
      <w:r>
        <w:rPr>
          <w:b/>
          <w:sz w:val="20"/>
          <w:szCs w:val="20"/>
        </w:rPr>
        <w:fldChar w:fldCharType="begin"/>
      </w:r>
      <w:r>
        <w:instrText>SEQ Quadro \* ARABIC</w:instrText>
      </w:r>
      <w:r>
        <w:fldChar w:fldCharType="separate"/>
      </w:r>
      <w:r>
        <w:rPr>
          <w:noProof/>
        </w:rPr>
        <w:t>3</w:t>
      </w:r>
      <w:r>
        <w:fldChar w:fldCharType="end"/>
      </w:r>
      <w:bookmarkEnd w:id="25"/>
      <w:bookmarkEnd w:id="26"/>
      <w:r>
        <w:rPr>
          <w:b/>
          <w:sz w:val="20"/>
          <w:szCs w:val="20"/>
        </w:rPr>
        <w:t>. Vagas previstas por Curso Técnico Subsequente de 2014 a 2018, pelo CAV</w:t>
      </w:r>
    </w:p>
    <w:p w:rsidR="00762C45" w:rsidRDefault="00762C45">
      <w:pPr>
        <w:rPr>
          <w:b/>
          <w:bCs/>
          <w:color w:val="FF0000"/>
          <w:sz w:val="20"/>
          <w:szCs w:val="20"/>
        </w:rPr>
      </w:pPr>
    </w:p>
    <w:p w:rsidR="00762C45" w:rsidRDefault="00303B66">
      <w:pPr>
        <w:ind w:hanging="11"/>
        <w:jc w:val="center"/>
        <w:rPr>
          <w:b/>
          <w:bCs/>
          <w:color w:val="FF0000"/>
          <w:sz w:val="20"/>
          <w:szCs w:val="20"/>
        </w:rPr>
      </w:pPr>
      <w:r>
        <w:rPr>
          <w:noProof/>
        </w:rPr>
        <w:drawing>
          <wp:inline distT="0" distB="0" distL="0" distR="0">
            <wp:extent cx="6143625" cy="5572125"/>
            <wp:effectExtent l="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pic:cNvPicPr>
                      <a:picLocks noChangeAspect="1" noChangeArrowheads="1"/>
                    </pic:cNvPicPr>
                  </pic:nvPicPr>
                  <pic:blipFill>
                    <a:blip r:embed="rId13"/>
                    <a:stretch>
                      <a:fillRect/>
                    </a:stretch>
                  </pic:blipFill>
                  <pic:spPr bwMode="auto">
                    <a:xfrm>
                      <a:off x="0" y="0"/>
                      <a:ext cx="6143625" cy="5572125"/>
                    </a:xfrm>
                    <a:prstGeom prst="rect">
                      <a:avLst/>
                    </a:prstGeom>
                  </pic:spPr>
                </pic:pic>
              </a:graphicData>
            </a:graphic>
          </wp:inline>
        </w:drawing>
      </w:r>
    </w:p>
    <w:p w:rsidR="00762C45" w:rsidRDefault="00762C45">
      <w:pPr>
        <w:pStyle w:val="Legenda"/>
        <w:keepNext/>
        <w:spacing w:before="0" w:after="0" w:line="240" w:lineRule="auto"/>
        <w:ind w:left="0" w:firstLine="0"/>
        <w:jc w:val="center"/>
        <w:rPr>
          <w:rFonts w:ascii="Times New Roman" w:hAnsi="Times New Roman" w:cs="Times New Roman"/>
          <w:b/>
          <w:i w:val="0"/>
          <w:sz w:val="20"/>
          <w:szCs w:val="20"/>
        </w:rPr>
      </w:pPr>
      <w:bookmarkStart w:id="27" w:name="_Toc472974282"/>
    </w:p>
    <w:p w:rsidR="00762C45" w:rsidRDefault="00762C45">
      <w:pPr>
        <w:pStyle w:val="Legenda"/>
        <w:keepNext/>
        <w:spacing w:before="0" w:after="0" w:line="240" w:lineRule="auto"/>
        <w:ind w:left="0" w:firstLine="0"/>
        <w:jc w:val="center"/>
        <w:rPr>
          <w:rFonts w:ascii="Times New Roman" w:hAnsi="Times New Roman" w:cs="Times New Roman"/>
          <w:b/>
          <w:i w:val="0"/>
          <w:sz w:val="20"/>
          <w:szCs w:val="20"/>
        </w:rPr>
      </w:pPr>
    </w:p>
    <w:p w:rsidR="00762C45" w:rsidRDefault="00303B66">
      <w:pPr>
        <w:pStyle w:val="Legenda"/>
        <w:spacing w:before="0" w:after="0" w:line="240" w:lineRule="auto"/>
        <w:ind w:left="0" w:firstLine="0"/>
        <w:jc w:val="center"/>
      </w:pPr>
      <w:bookmarkStart w:id="28" w:name="_Toc474391112"/>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4</w:t>
      </w:r>
      <w:r>
        <w:fldChar w:fldCharType="end"/>
      </w:r>
      <w:bookmarkEnd w:id="27"/>
      <w:bookmarkEnd w:id="28"/>
      <w:r>
        <w:rPr>
          <w:rFonts w:ascii="Times New Roman" w:hAnsi="Times New Roman" w:cs="Times New Roman"/>
          <w:b/>
          <w:i w:val="0"/>
          <w:sz w:val="20"/>
          <w:szCs w:val="20"/>
        </w:rPr>
        <w:t>.  Vagas previstas por curso do PROEJA FIC no período de 2014 a 2018</w:t>
      </w:r>
    </w:p>
    <w:p w:rsidR="00762C45" w:rsidRDefault="00762C45">
      <w:pPr>
        <w:pStyle w:val="Legenda"/>
        <w:keepNext/>
        <w:spacing w:before="0" w:after="0" w:line="240" w:lineRule="auto"/>
        <w:ind w:left="0" w:firstLine="0"/>
        <w:jc w:val="center"/>
        <w:rPr>
          <w:rFonts w:ascii="Times New Roman" w:hAnsi="Times New Roman" w:cs="Times New Roman"/>
          <w:b/>
          <w:i w:val="0"/>
          <w:sz w:val="8"/>
          <w:szCs w:val="8"/>
        </w:rPr>
      </w:pPr>
    </w:p>
    <w:p w:rsidR="00762C45" w:rsidRDefault="00303B66">
      <w:pPr>
        <w:pStyle w:val="Legenda"/>
        <w:keepNext/>
        <w:spacing w:before="0" w:after="0" w:line="240" w:lineRule="auto"/>
        <w:ind w:left="0" w:firstLine="0"/>
        <w:jc w:val="center"/>
        <w:rPr>
          <w:rFonts w:ascii="Times New Roman" w:hAnsi="Times New Roman" w:cs="Times New Roman"/>
          <w:b/>
          <w:i w:val="0"/>
          <w:sz w:val="20"/>
          <w:szCs w:val="20"/>
        </w:rPr>
      </w:pPr>
      <w:r>
        <w:rPr>
          <w:noProof/>
        </w:rPr>
        <w:drawing>
          <wp:inline distT="0" distB="0" distL="0" distR="0">
            <wp:extent cx="6400800" cy="950595"/>
            <wp:effectExtent l="0" t="0" r="0" b="0"/>
            <wp:docPr id="8"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60"/>
                    <pic:cNvPicPr>
                      <a:picLocks noChangeAspect="1" noChangeArrowheads="1"/>
                    </pic:cNvPicPr>
                  </pic:nvPicPr>
                  <pic:blipFill>
                    <a:blip r:embed="rId14"/>
                    <a:stretch>
                      <a:fillRect/>
                    </a:stretch>
                  </pic:blipFill>
                  <pic:spPr bwMode="auto">
                    <a:xfrm>
                      <a:off x="0" y="0"/>
                      <a:ext cx="6400800" cy="950595"/>
                    </a:xfrm>
                    <a:prstGeom prst="rect">
                      <a:avLst/>
                    </a:prstGeom>
                  </pic:spPr>
                </pic:pic>
              </a:graphicData>
            </a:graphic>
          </wp:inline>
        </w:drawing>
      </w:r>
    </w:p>
    <w:p w:rsidR="00762C45" w:rsidRDefault="00762C45">
      <w:pPr>
        <w:pStyle w:val="Legenda"/>
        <w:spacing w:before="0" w:after="0" w:line="240" w:lineRule="auto"/>
        <w:ind w:left="0" w:firstLine="0"/>
        <w:rPr>
          <w:rFonts w:ascii="Times New Roman" w:eastAsiaTheme="minorEastAsia" w:hAnsi="Times New Roman" w:cs="Times New Roman"/>
          <w:b/>
          <w:i w:val="0"/>
          <w:iCs w:val="0"/>
          <w:color w:val="00000A"/>
        </w:rPr>
      </w:pPr>
    </w:p>
    <w:p w:rsidR="00762C45" w:rsidRDefault="00303B66">
      <w:pPr>
        <w:pStyle w:val="Legenda"/>
        <w:spacing w:before="0" w:after="0" w:line="240" w:lineRule="auto"/>
        <w:ind w:left="0" w:firstLine="0"/>
        <w:jc w:val="center"/>
      </w:pPr>
      <w:bookmarkStart w:id="29" w:name="_Toc474391113"/>
      <w:bookmarkStart w:id="30" w:name="_Toc472974283"/>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5</w:t>
      </w:r>
      <w:r>
        <w:fldChar w:fldCharType="end"/>
      </w:r>
      <w:bookmarkEnd w:id="29"/>
      <w:bookmarkEnd w:id="30"/>
      <w:r>
        <w:rPr>
          <w:rFonts w:ascii="Times New Roman" w:hAnsi="Times New Roman" w:cs="Times New Roman"/>
          <w:b/>
          <w:i w:val="0"/>
          <w:sz w:val="20"/>
          <w:szCs w:val="20"/>
        </w:rPr>
        <w:t>. Vagas por cursos de oferta FIC regular no período de 2014 a 2018</w:t>
      </w:r>
    </w:p>
    <w:p w:rsidR="00762C45" w:rsidRDefault="00762C45">
      <w:pPr>
        <w:pStyle w:val="Legenda"/>
        <w:spacing w:before="0" w:after="0" w:line="240" w:lineRule="auto"/>
        <w:ind w:left="0" w:firstLine="0"/>
        <w:jc w:val="center"/>
        <w:rPr>
          <w:rFonts w:ascii="Times New Roman" w:hAnsi="Times New Roman" w:cs="Times New Roman"/>
          <w:b/>
          <w:i w:val="0"/>
          <w:sz w:val="16"/>
          <w:szCs w:val="16"/>
        </w:rPr>
      </w:pPr>
    </w:p>
    <w:p w:rsidR="00762C45" w:rsidRDefault="00303B66">
      <w:pPr>
        <w:rPr>
          <w:color w:val="000000" w:themeColor="text1"/>
          <w:sz w:val="22"/>
          <w:szCs w:val="22"/>
        </w:rPr>
      </w:pPr>
      <w:r>
        <w:rPr>
          <w:noProof/>
        </w:rPr>
        <w:drawing>
          <wp:inline distT="0" distB="0" distL="0" distR="0">
            <wp:extent cx="6400800" cy="3768090"/>
            <wp:effectExtent l="0" t="0" r="0" b="0"/>
            <wp:docPr id="9"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62"/>
                    <pic:cNvPicPr>
                      <a:picLocks noChangeAspect="1" noChangeArrowheads="1"/>
                    </pic:cNvPicPr>
                  </pic:nvPicPr>
                  <pic:blipFill>
                    <a:blip r:embed="rId15"/>
                    <a:stretch>
                      <a:fillRect/>
                    </a:stretch>
                  </pic:blipFill>
                  <pic:spPr bwMode="auto">
                    <a:xfrm>
                      <a:off x="0" y="0"/>
                      <a:ext cx="6400800" cy="3768090"/>
                    </a:xfrm>
                    <a:prstGeom prst="rect">
                      <a:avLst/>
                    </a:prstGeom>
                  </pic:spPr>
                </pic:pic>
              </a:graphicData>
            </a:graphic>
          </wp:inline>
        </w:drawing>
      </w:r>
    </w:p>
    <w:p w:rsidR="00762C45" w:rsidRDefault="00762C45">
      <w:pPr>
        <w:ind w:firstLine="567"/>
        <w:jc w:val="both"/>
        <w:rPr>
          <w:sz w:val="22"/>
          <w:szCs w:val="22"/>
        </w:rPr>
      </w:pPr>
    </w:p>
    <w:p w:rsidR="00762C45" w:rsidRDefault="00303B66">
      <w:pPr>
        <w:ind w:firstLine="567"/>
        <w:jc w:val="both"/>
        <w:rPr>
          <w:sz w:val="22"/>
          <w:szCs w:val="22"/>
        </w:rPr>
      </w:pPr>
      <w:r>
        <w:rPr>
          <w:sz w:val="22"/>
          <w:szCs w:val="22"/>
        </w:rPr>
        <w:t xml:space="preserve">A oferta de cursos pelo CAV é definida com base nos seguintes critérios: número efetivo de servidores docentes e técnicos administrativos, relação professor/aluno, turnos de funcionamento e área tecnológica em que o </w:t>
      </w:r>
      <w:r>
        <w:rPr>
          <w:i/>
          <w:sz w:val="22"/>
          <w:szCs w:val="22"/>
        </w:rPr>
        <w:t>Campus</w:t>
      </w:r>
      <w:r>
        <w:rPr>
          <w:sz w:val="22"/>
          <w:szCs w:val="22"/>
        </w:rPr>
        <w:t xml:space="preserve">  atua.</w:t>
      </w:r>
    </w:p>
    <w:p w:rsidR="00762C45" w:rsidRDefault="00303B66">
      <w:pPr>
        <w:ind w:firstLine="567"/>
        <w:jc w:val="both"/>
        <w:rPr>
          <w:sz w:val="22"/>
          <w:szCs w:val="22"/>
        </w:rPr>
      </w:pPr>
      <w:r>
        <w:rPr>
          <w:sz w:val="22"/>
          <w:szCs w:val="22"/>
        </w:rPr>
        <w:t xml:space="preserve">A política de ensino do CAV leva em consideração Leis e diretrizes voltadas para o desenvolvimento regional de forma sustentável e seres humanos conscientes/críticos de seus direitos e deveres. Nesse sentido, consideramos na estrutura do Projeto Pedagógico dos Cursos (PPCs), de forma articulada, diretrizes da Lei Nº 9.795/1999, Decreto nº 4.281/2002, Resolução CNE/CP nº 02/2012, que trata da Educação Ambiental como um componente essencial e permanente da educação nacional. </w:t>
      </w:r>
    </w:p>
    <w:p w:rsidR="00762C45" w:rsidRDefault="00303B66">
      <w:pPr>
        <w:ind w:firstLine="567"/>
        <w:jc w:val="both"/>
        <w:rPr>
          <w:sz w:val="22"/>
          <w:szCs w:val="22"/>
        </w:rPr>
      </w:pPr>
      <w:r>
        <w:rPr>
          <w:sz w:val="22"/>
          <w:szCs w:val="22"/>
        </w:rPr>
        <w:t xml:space="preserve">Para a oferta dos cursos PROEJA FIC, Técnicos subsequentes e integrados são observadas de forma transversal, as diretrizes curriculares nacionais para educação das relações étnico raciais para o ensino de história e cultura afro-brasileira, africana e indígena nos termos da Lei nº 10.639/2003, 11.645/2008, da Resolução CNE/CP nº 01/2004 e do Parecer CNE/CP nº 03/2004). Assim como,  as diretrizes nacionais para Educação em Direitos Humanos conforme disposto no Parecer CNE/CP nº 08/2012, Resolução CNE/CP nº 01/2012, que visam a construção de concepções e práticas que compõem os Direitos Humanos e seus processos de promoção, proteção, defesa e aplicação na vida cotidiana, ou seja, esses dispositivos de leis se destinam a formar crianças, jovens e adultos para participarem ativamente da vida democrática e exercitar seus direitos e responsabilidades na sociedade, também respeitando e promovendo os direitos das demais pessoas. </w:t>
      </w:r>
    </w:p>
    <w:p w:rsidR="00762C45" w:rsidRDefault="00762C45">
      <w:pPr>
        <w:ind w:firstLine="567"/>
        <w:jc w:val="both"/>
        <w:rPr>
          <w:sz w:val="22"/>
          <w:szCs w:val="22"/>
        </w:rPr>
      </w:pPr>
    </w:p>
    <w:p w:rsidR="00762C45" w:rsidRDefault="00303B66">
      <w:pPr>
        <w:pStyle w:val="Estilo4"/>
        <w:rPr>
          <w:b/>
        </w:rPr>
      </w:pPr>
      <w:bookmarkStart w:id="31" w:name="_Toc474391174"/>
      <w:bookmarkEnd w:id="31"/>
      <w:r>
        <w:rPr>
          <w:b/>
        </w:rPr>
        <w:t>3.2 Políticas de Ensino e Ações Acadêmico-administrativas para os Cursos de Graduação</w:t>
      </w:r>
    </w:p>
    <w:p w:rsidR="00762C45" w:rsidRDefault="00762C45">
      <w:pPr>
        <w:jc w:val="both"/>
        <w:rPr>
          <w:b/>
          <w:bCs/>
          <w:sz w:val="22"/>
          <w:szCs w:val="22"/>
        </w:rPr>
      </w:pPr>
    </w:p>
    <w:p w:rsidR="00762C45" w:rsidRDefault="00303B66">
      <w:pPr>
        <w:ind w:firstLine="567"/>
        <w:jc w:val="both"/>
        <w:rPr>
          <w:sz w:val="22"/>
          <w:szCs w:val="22"/>
        </w:rPr>
      </w:pPr>
      <w:r>
        <w:rPr>
          <w:color w:val="000000"/>
          <w:sz w:val="22"/>
          <w:szCs w:val="22"/>
        </w:rPr>
        <w:t xml:space="preserve">As concepções, princípios e fundamentos do currículo e das práticas institucionais abordados no item 3, intuitivamente, remetem a aspiração do CAV na construção e promoção da educação superior em nível de graduação. Este anseio está referendado na Lei Nº 11.892/2008 de criação dos Institutos Federais, que torna legítima as ofertas de cursos de graduação, em consonância com o seu Art. 7º que trata dos objetivos dos Institutos Federais e versa sobre a Educação Superior. </w:t>
      </w:r>
    </w:p>
    <w:p w:rsidR="00762C45" w:rsidRDefault="00303B66">
      <w:pPr>
        <w:ind w:firstLine="567"/>
        <w:jc w:val="both"/>
        <w:rPr>
          <w:sz w:val="22"/>
          <w:szCs w:val="22"/>
        </w:rPr>
      </w:pPr>
      <w:r>
        <w:rPr>
          <w:color w:val="000000"/>
          <w:sz w:val="22"/>
          <w:szCs w:val="22"/>
        </w:rPr>
        <w:t xml:space="preserve">De acordo com as concepções norteadoras de ensino superior, a educação pauta-se nas demais políticas </w:t>
      </w:r>
      <w:r>
        <w:rPr>
          <w:color w:val="000000"/>
          <w:sz w:val="22"/>
          <w:szCs w:val="22"/>
        </w:rPr>
        <w:lastRenderedPageBreak/>
        <w:t>praticadas pelo CAV visando a democratização do acesso ao ensino superior, a permanência e êxito do discente e, principalmente, a atuação profissional e oferta de postos de trabalho aos egressos. Nesse sentido, os esforços devem ser envidados com vistas a consolidação de cursos que atendam às necessidades da sociedade e, em particular, contribuam para o desenvolvimento socioeconômico da região de abrangência do CAV.</w:t>
      </w:r>
    </w:p>
    <w:p w:rsidR="00762C45" w:rsidRDefault="00303B66">
      <w:pPr>
        <w:ind w:firstLine="567"/>
        <w:jc w:val="both"/>
        <w:rPr>
          <w:color w:val="000000"/>
          <w:sz w:val="22"/>
          <w:szCs w:val="22"/>
        </w:rPr>
      </w:pPr>
      <w:r>
        <w:rPr>
          <w:color w:val="000000"/>
          <w:sz w:val="22"/>
          <w:szCs w:val="22"/>
        </w:rPr>
        <w:t xml:space="preserve">Dentre as inquietações com o ensino, o </w:t>
      </w:r>
      <w:r>
        <w:rPr>
          <w:i/>
          <w:iCs/>
          <w:color w:val="000000"/>
          <w:sz w:val="22"/>
          <w:szCs w:val="22"/>
        </w:rPr>
        <w:t xml:space="preserve">Campus </w:t>
      </w:r>
      <w:r>
        <w:rPr>
          <w:color w:val="000000"/>
          <w:sz w:val="22"/>
          <w:szCs w:val="22"/>
        </w:rPr>
        <w:t xml:space="preserve">Avançado Vigia preocupa-se com o reconhecimento do caráter da formação e profissionalização do tecnólogo, bacharel ou licenciado que pretende formar e, em breve, estas serão as premissas para consolidar os cursos de graduação que o CAV pretende ofertar a partir de 2018, nas áreas da Informação e Educação do Campo, conforme especificado no </w:t>
      </w:r>
      <w:r>
        <w:rPr>
          <w:sz w:val="22"/>
          <w:szCs w:val="22"/>
        </w:rPr>
        <w:t>Quadro 05</w:t>
      </w:r>
      <w:r>
        <w:rPr>
          <w:color w:val="FF0000"/>
          <w:sz w:val="22"/>
          <w:szCs w:val="22"/>
        </w:rPr>
        <w:t xml:space="preserve">. </w:t>
      </w:r>
      <w:r>
        <w:rPr>
          <w:color w:val="000000"/>
          <w:sz w:val="22"/>
          <w:szCs w:val="22"/>
        </w:rPr>
        <w:t>Assim sendo pretende-se construir e potencializar valores para que os profissionais a serem formados se tornem agentes sociais e autônomos, capazes de gerir e planejar ações nas estruturas sociais e econômicas.</w:t>
      </w:r>
    </w:p>
    <w:p w:rsidR="00762C45" w:rsidRDefault="00762C45">
      <w:pPr>
        <w:ind w:firstLine="567"/>
        <w:jc w:val="both"/>
        <w:rPr>
          <w:color w:val="000000"/>
          <w:sz w:val="22"/>
          <w:szCs w:val="22"/>
        </w:rPr>
      </w:pPr>
    </w:p>
    <w:p w:rsidR="00762C45" w:rsidRDefault="00303B66">
      <w:pPr>
        <w:pStyle w:val="Legenda"/>
        <w:spacing w:before="0" w:after="0" w:line="240" w:lineRule="auto"/>
        <w:ind w:left="0" w:firstLine="0"/>
        <w:jc w:val="center"/>
      </w:pPr>
      <w:bookmarkStart w:id="32" w:name="_Toc474391114"/>
      <w:bookmarkStart w:id="33" w:name="_Toc472974284"/>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6</w:t>
      </w:r>
      <w:r>
        <w:fldChar w:fldCharType="end"/>
      </w:r>
      <w:bookmarkEnd w:id="32"/>
      <w:bookmarkEnd w:id="33"/>
      <w:r>
        <w:rPr>
          <w:rFonts w:ascii="Times New Roman" w:hAnsi="Times New Roman" w:cs="Times New Roman"/>
          <w:b/>
          <w:i w:val="0"/>
          <w:sz w:val="20"/>
          <w:szCs w:val="20"/>
        </w:rPr>
        <w:t>. Curso de graduação a ser ofertado a partir de 2018 pelo CAV</w:t>
      </w:r>
    </w:p>
    <w:p w:rsidR="00762C45" w:rsidRDefault="00762C45">
      <w:pPr>
        <w:pStyle w:val="Legenda"/>
        <w:spacing w:before="0" w:after="0" w:line="240" w:lineRule="auto"/>
        <w:ind w:left="0" w:firstLine="0"/>
        <w:jc w:val="center"/>
        <w:rPr>
          <w:rFonts w:ascii="Times New Roman" w:hAnsi="Times New Roman" w:cs="Times New Roman"/>
          <w:b/>
          <w:i w:val="0"/>
          <w:sz w:val="20"/>
          <w:szCs w:val="20"/>
        </w:rPr>
      </w:pPr>
    </w:p>
    <w:p w:rsidR="00762C45" w:rsidRDefault="00303B66">
      <w:pPr>
        <w:jc w:val="center"/>
        <w:rPr>
          <w:b/>
          <w:bCs/>
          <w:color w:val="000000"/>
          <w:sz w:val="20"/>
          <w:szCs w:val="20"/>
        </w:rPr>
      </w:pPr>
      <w:r>
        <w:rPr>
          <w:noProof/>
        </w:rPr>
        <w:drawing>
          <wp:inline distT="0" distB="0" distL="0" distR="0">
            <wp:extent cx="6400800" cy="795020"/>
            <wp:effectExtent l="0" t="0" r="0" b="0"/>
            <wp:docPr id="10"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65"/>
                    <pic:cNvPicPr>
                      <a:picLocks noChangeAspect="1" noChangeArrowheads="1"/>
                    </pic:cNvPicPr>
                  </pic:nvPicPr>
                  <pic:blipFill>
                    <a:blip r:embed="rId16"/>
                    <a:stretch>
                      <a:fillRect/>
                    </a:stretch>
                  </pic:blipFill>
                  <pic:spPr bwMode="auto">
                    <a:xfrm>
                      <a:off x="0" y="0"/>
                      <a:ext cx="6400800" cy="795020"/>
                    </a:xfrm>
                    <a:prstGeom prst="rect">
                      <a:avLst/>
                    </a:prstGeom>
                  </pic:spPr>
                </pic:pic>
              </a:graphicData>
            </a:graphic>
          </wp:inline>
        </w:drawing>
      </w:r>
    </w:p>
    <w:p w:rsidR="00762C45" w:rsidRDefault="00762C45">
      <w:pPr>
        <w:pStyle w:val="Ttulo3"/>
        <w:rPr>
          <w:rFonts w:ascii="Times New Roman" w:hAnsi="Times New Roman" w:cs="Times New Roman"/>
          <w:b/>
          <w:bCs/>
          <w:color w:val="00000A"/>
          <w:sz w:val="22"/>
          <w:szCs w:val="22"/>
        </w:rPr>
      </w:pPr>
    </w:p>
    <w:p w:rsidR="00762C45" w:rsidRDefault="00303B66">
      <w:pPr>
        <w:pStyle w:val="Ttulo3"/>
        <w:spacing w:before="0"/>
        <w:rPr>
          <w:rFonts w:ascii="Times New Roman" w:hAnsi="Times New Roman" w:cs="Times New Roman"/>
          <w:color w:val="00000A"/>
          <w:sz w:val="22"/>
          <w:szCs w:val="22"/>
        </w:rPr>
      </w:pPr>
      <w:bookmarkStart w:id="34" w:name="_Toc474391175"/>
      <w:bookmarkEnd w:id="34"/>
      <w:r>
        <w:rPr>
          <w:rFonts w:ascii="Times New Roman" w:hAnsi="Times New Roman" w:cs="Times New Roman"/>
          <w:b/>
          <w:bCs/>
          <w:color w:val="00000A"/>
          <w:sz w:val="22"/>
          <w:szCs w:val="22"/>
        </w:rPr>
        <w:t>3.2.1 Sistemática de atualização curricular</w:t>
      </w:r>
    </w:p>
    <w:p w:rsidR="00762C45" w:rsidRDefault="00762C45">
      <w:pPr>
        <w:ind w:firstLine="567"/>
        <w:jc w:val="both"/>
        <w:rPr>
          <w:sz w:val="22"/>
          <w:szCs w:val="22"/>
        </w:rPr>
      </w:pPr>
    </w:p>
    <w:p w:rsidR="00762C45" w:rsidRDefault="00303B66">
      <w:pPr>
        <w:ind w:firstLine="567"/>
        <w:jc w:val="both"/>
        <w:rPr>
          <w:sz w:val="22"/>
          <w:szCs w:val="22"/>
        </w:rPr>
      </w:pPr>
      <w:r>
        <w:rPr>
          <w:sz w:val="22"/>
          <w:szCs w:val="22"/>
        </w:rPr>
        <w:t>A atualização curricular no CAV se dá de forma continua no início de atividades de cada curso, pois está prevista na sua programação como uma das primeiras tarefas dos alunos a realização do diagnóstico que irá subsidiar ou definir a necessidade dessa atualização. Essa tem sido uma prática adotada desde o início do funcionamento do CAV quando ainda era Polo Avançado Vigia. Com isso se mantém sempre atualizada a matriz curricular de cada curso estruturada em função da realidade local demandada por cada área de estudo.</w:t>
      </w:r>
    </w:p>
    <w:p w:rsidR="00762C45" w:rsidRDefault="00762C45">
      <w:pPr>
        <w:ind w:firstLine="567"/>
        <w:jc w:val="both"/>
        <w:rPr>
          <w:sz w:val="22"/>
          <w:szCs w:val="22"/>
        </w:rPr>
      </w:pPr>
    </w:p>
    <w:p w:rsidR="00762C45" w:rsidRDefault="00303B66">
      <w:pPr>
        <w:pStyle w:val="Ttulo3"/>
        <w:spacing w:before="0"/>
        <w:rPr>
          <w:rFonts w:ascii="Times New Roman" w:hAnsi="Times New Roman" w:cs="Times New Roman"/>
          <w:b/>
          <w:bCs/>
          <w:color w:val="00000A"/>
          <w:sz w:val="22"/>
          <w:szCs w:val="22"/>
        </w:rPr>
      </w:pPr>
      <w:bookmarkStart w:id="35" w:name="_Toc474391176"/>
      <w:bookmarkEnd w:id="35"/>
      <w:r>
        <w:rPr>
          <w:rFonts w:ascii="Times New Roman" w:hAnsi="Times New Roman" w:cs="Times New Roman"/>
          <w:b/>
          <w:bCs/>
          <w:color w:val="00000A"/>
          <w:sz w:val="22"/>
          <w:szCs w:val="22"/>
        </w:rPr>
        <w:t>3.2.2 Desenvolvimento/utilização de material didático-pedagógico</w:t>
      </w:r>
    </w:p>
    <w:p w:rsidR="00762C45" w:rsidRDefault="00762C45">
      <w:pPr>
        <w:jc w:val="both"/>
        <w:rPr>
          <w:b/>
          <w:color w:val="FF0000"/>
          <w:sz w:val="22"/>
          <w:szCs w:val="22"/>
        </w:rPr>
      </w:pPr>
    </w:p>
    <w:p w:rsidR="00762C45" w:rsidRDefault="00303B66">
      <w:pPr>
        <w:widowControl/>
        <w:suppressAutoHyphens w:val="0"/>
        <w:ind w:firstLine="567"/>
        <w:jc w:val="both"/>
        <w:rPr>
          <w:rFonts w:eastAsia="Times New Roman"/>
          <w:sz w:val="22"/>
          <w:szCs w:val="22"/>
        </w:rPr>
      </w:pPr>
      <w:r>
        <w:rPr>
          <w:sz w:val="22"/>
          <w:szCs w:val="22"/>
        </w:rPr>
        <w:t>A coordenação de cada curso promove, no início de cada período letivo, um planejamento das atividades didáticas com a participação de professores e da assistência estudantil, a fim de definir e atualizar os equipamentos e materiais pedagógicos a serem utilizados, o que e</w:t>
      </w:r>
      <w:r>
        <w:rPr>
          <w:rFonts w:eastAsia="Times New Roman"/>
          <w:sz w:val="22"/>
          <w:szCs w:val="22"/>
        </w:rPr>
        <w:t>stá para além da organização do espaço físico da sala de aula e do ligar e desligar de aparelhos mas, sobretudo, dizem respeito à constituição de uma identidade educativa voltada às preocupações  com uso adequado e qualitativo desses recursos. Estão relacionados ao arranjo espacial escolar e a manutenção, conservação e emprego dos materiais e equipamentos didáticos.</w:t>
      </w: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Com isto pretende-se que cada um conheça os materiais e os equipamentos didáticos em uso no </w:t>
      </w:r>
      <w:r>
        <w:rPr>
          <w:rFonts w:eastAsia="Times New Roman"/>
          <w:i/>
          <w:sz w:val="22"/>
          <w:szCs w:val="22"/>
        </w:rPr>
        <w:t>campus</w:t>
      </w:r>
      <w:r>
        <w:rPr>
          <w:rFonts w:eastAsia="Times New Roman"/>
          <w:sz w:val="22"/>
          <w:szCs w:val="22"/>
        </w:rPr>
        <w:t xml:space="preserve">; desenvolva habilidades básicas necessárias à conservação, à manutenção e ao emprego desses equipamentos no ambiente escolar, por meio de reflexões sobre um contexto educacional criativo, inclusivo e de qualidade, com vistas ao desenvolvimento de um perfil profissional técnico, gestor e educador. </w:t>
      </w:r>
    </w:p>
    <w:p w:rsidR="00762C45" w:rsidRDefault="00303B66">
      <w:pPr>
        <w:widowControl/>
        <w:suppressAutoHyphens w:val="0"/>
        <w:ind w:firstLine="567"/>
        <w:jc w:val="both"/>
        <w:rPr>
          <w:rFonts w:eastAsia="Times New Roman"/>
          <w:sz w:val="22"/>
          <w:szCs w:val="22"/>
        </w:rPr>
      </w:pPr>
      <w:r>
        <w:rPr>
          <w:rFonts w:eastAsia="Times New Roman"/>
          <w:sz w:val="22"/>
          <w:szCs w:val="22"/>
        </w:rPr>
        <w:t>O emprego dos recursos, materiais ou equipamentos didáticos, como sua própria experiência profissional indica, é historicamente planejado, elaborado e implementado pelo professor. Contudo, as práticas educacionais cotidianas permitem constatar a necessidade urgente de um novo olhar sobre os suportes didáticos. Em tempos de gestão democrática, de educação para a inclusão, escolar e social, sugere-se a participação de todos, em todas as instâncias e em todos os espaços da escola. Inclui-se aí a efetiva participação dos funcionários nas instâncias pedagógicas, como gestores e educadores que reúnem as habilidades necessárias ao desenvolvimento de ações que envolvam o apoio didático às aulas planejadas pela equipe docente.</w:t>
      </w: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A otimização do uso dos equipamentos existentes no </w:t>
      </w:r>
      <w:r>
        <w:rPr>
          <w:rFonts w:eastAsia="Times New Roman"/>
          <w:i/>
          <w:sz w:val="22"/>
          <w:szCs w:val="22"/>
        </w:rPr>
        <w:t>campus</w:t>
      </w:r>
      <w:r>
        <w:rPr>
          <w:rFonts w:eastAsia="Times New Roman"/>
          <w:sz w:val="22"/>
          <w:szCs w:val="22"/>
        </w:rPr>
        <w:t>, ainda que escassos, colabora sensivelmente para o processo formativo do estudante. A utilização de um simples cartaz pode contribuir qualitativamente para o alcance dos objetivos da aula. Igualmente, a TV e o vídeo, quando bem utilizados, podem colaborar para a assimilação e sedimentação dos conteúdos curriculares, tornando as aulas mais atrativas e prazerosas.</w:t>
      </w:r>
    </w:p>
    <w:p w:rsidR="00762C45" w:rsidRDefault="00303B66">
      <w:pPr>
        <w:widowControl/>
        <w:suppressAutoHyphens w:val="0"/>
        <w:ind w:firstLine="567"/>
        <w:jc w:val="both"/>
        <w:rPr>
          <w:rFonts w:eastAsia="Times New Roman"/>
          <w:sz w:val="22"/>
          <w:szCs w:val="22"/>
        </w:rPr>
      </w:pPr>
      <w:r>
        <w:rPr>
          <w:rFonts w:eastAsia="Times New Roman"/>
          <w:sz w:val="22"/>
          <w:szCs w:val="22"/>
        </w:rPr>
        <w:lastRenderedPageBreak/>
        <w:t>A própria produção de materiais que atendam às demandas específicas do campus de cada turma ou mesmo de cada estudante é uma prática possível a ser estimulada nesta instituição. A Gestão do CAV como um todo está empenhada em dotar os cursos com todos os recursos didáticos necessários para o seu pleno funcionamento, bem como qualificar os seus servidores para que possam contribuir efetivamente para a melhoria do ensino ministrado.</w:t>
      </w:r>
    </w:p>
    <w:p w:rsidR="00762C45" w:rsidRDefault="00762C45">
      <w:pPr>
        <w:widowControl/>
        <w:tabs>
          <w:tab w:val="left" w:pos="3661"/>
        </w:tabs>
        <w:suppressAutoHyphens w:val="0"/>
        <w:ind w:firstLine="567"/>
        <w:jc w:val="both"/>
        <w:rPr>
          <w:rFonts w:eastAsia="Times New Roman"/>
          <w:color w:val="FF0000"/>
          <w:sz w:val="22"/>
          <w:szCs w:val="22"/>
        </w:rPr>
      </w:pPr>
    </w:p>
    <w:p w:rsidR="00762C45" w:rsidRDefault="00303B66">
      <w:pPr>
        <w:pStyle w:val="Estilo3"/>
        <w:jc w:val="both"/>
      </w:pPr>
      <w:bookmarkStart w:id="36" w:name="_Toc474391177"/>
      <w:bookmarkEnd w:id="36"/>
      <w:r>
        <w:t>3.2.3 Sistemática de implantação/oferta de componentes curriculares na modalidade semipresencial</w:t>
      </w:r>
    </w:p>
    <w:p w:rsidR="00762C45" w:rsidRDefault="00762C45">
      <w:pPr>
        <w:jc w:val="both"/>
        <w:rPr>
          <w:b/>
          <w:color w:val="FF0000"/>
          <w:sz w:val="22"/>
          <w:szCs w:val="22"/>
        </w:rPr>
      </w:pPr>
    </w:p>
    <w:p w:rsidR="00762C45" w:rsidRDefault="00303B66">
      <w:pPr>
        <w:ind w:firstLine="567"/>
        <w:jc w:val="both"/>
        <w:rPr>
          <w:sz w:val="22"/>
          <w:szCs w:val="22"/>
        </w:rPr>
      </w:pPr>
      <w:r>
        <w:rPr>
          <w:sz w:val="22"/>
          <w:szCs w:val="22"/>
        </w:rPr>
        <w:t xml:space="preserve">A oferta de cursos semipresenciais pelo CAV levará em consideração as diretrizes estabelecidas pelo IFPA para a Educação a Distância (EaD). Nesse sentido pretende-se a partir de 2018 revitalizar essa modalidade de educação ofertando cursos nas áreas já definidas no planejamento estratégico do </w:t>
      </w:r>
      <w:r>
        <w:rPr>
          <w:i/>
          <w:sz w:val="22"/>
          <w:szCs w:val="22"/>
        </w:rPr>
        <w:t>Campus</w:t>
      </w:r>
      <w:r>
        <w:rPr>
          <w:sz w:val="22"/>
          <w:szCs w:val="22"/>
        </w:rPr>
        <w:t xml:space="preserve"> Avançado Vigia priorizando as áreas de Informática e de Recursos Pesqueiros (Aquicultura), originados a partir dos cursos presenciais já em andamento e que o </w:t>
      </w:r>
      <w:r>
        <w:rPr>
          <w:i/>
          <w:sz w:val="22"/>
          <w:szCs w:val="22"/>
        </w:rPr>
        <w:t>campus</w:t>
      </w:r>
      <w:r>
        <w:rPr>
          <w:sz w:val="22"/>
          <w:szCs w:val="22"/>
        </w:rPr>
        <w:t xml:space="preserve"> detém uma certa expertise. </w:t>
      </w:r>
    </w:p>
    <w:p w:rsidR="00762C45" w:rsidRDefault="00303B66">
      <w:pPr>
        <w:ind w:firstLine="567"/>
        <w:jc w:val="both"/>
        <w:rPr>
          <w:sz w:val="22"/>
          <w:szCs w:val="22"/>
        </w:rPr>
      </w:pPr>
      <w:r>
        <w:rPr>
          <w:rFonts w:eastAsia="Times New Roman"/>
          <w:sz w:val="22"/>
          <w:szCs w:val="22"/>
        </w:rPr>
        <w:t xml:space="preserve">A palavra “semipresencial” pode dar a entender que o curso é metade presencial e metade a distância. Mas nos cursos presenciais que oferecem atividades EaD a proporção é diferente. O MEC autoriza oferecer </w:t>
      </w:r>
      <w:r>
        <w:rPr>
          <w:rFonts w:eastAsia="Times New Roman"/>
          <w:bCs/>
          <w:sz w:val="22"/>
          <w:szCs w:val="22"/>
        </w:rPr>
        <w:t>no máximo 20% da carga horária presencial</w:t>
      </w:r>
      <w:r>
        <w:rPr>
          <w:rFonts w:eastAsia="Times New Roman"/>
          <w:sz w:val="22"/>
          <w:szCs w:val="22"/>
        </w:rPr>
        <w:t xml:space="preserve"> em atividades a distância.</w:t>
      </w:r>
    </w:p>
    <w:p w:rsidR="00762C45" w:rsidRDefault="00303B66">
      <w:pPr>
        <w:ind w:firstLine="567"/>
        <w:jc w:val="both"/>
        <w:rPr>
          <w:sz w:val="22"/>
          <w:szCs w:val="22"/>
        </w:rPr>
      </w:pPr>
      <w:r>
        <w:rPr>
          <w:rFonts w:eastAsia="Times New Roman"/>
          <w:sz w:val="22"/>
          <w:szCs w:val="22"/>
        </w:rPr>
        <w:t>Neste modelo, as principais características são:</w:t>
      </w:r>
    </w:p>
    <w:p w:rsidR="00762C45" w:rsidRDefault="00303B66">
      <w:pPr>
        <w:widowControl/>
        <w:numPr>
          <w:ilvl w:val="0"/>
          <w:numId w:val="21"/>
        </w:numPr>
        <w:tabs>
          <w:tab w:val="left" w:pos="855"/>
        </w:tabs>
        <w:suppressAutoHyphens w:val="0"/>
        <w:ind w:left="567" w:firstLine="0"/>
        <w:jc w:val="both"/>
        <w:rPr>
          <w:rFonts w:eastAsia="Times New Roman"/>
          <w:sz w:val="22"/>
          <w:szCs w:val="22"/>
        </w:rPr>
      </w:pPr>
      <w:r>
        <w:rPr>
          <w:rFonts w:eastAsia="Times New Roman"/>
          <w:sz w:val="22"/>
          <w:szCs w:val="22"/>
        </w:rPr>
        <w:t xml:space="preserve">As atividades didáticas a distância são centradas na </w:t>
      </w:r>
      <w:r>
        <w:rPr>
          <w:rFonts w:eastAsia="Times New Roman"/>
          <w:bCs/>
          <w:sz w:val="22"/>
          <w:szCs w:val="22"/>
        </w:rPr>
        <w:t>autoaprendizagem</w:t>
      </w:r>
      <w:r>
        <w:rPr>
          <w:rFonts w:eastAsia="Times New Roman"/>
          <w:sz w:val="22"/>
          <w:szCs w:val="22"/>
        </w:rPr>
        <w:t>;</w:t>
      </w:r>
    </w:p>
    <w:p w:rsidR="00762C45" w:rsidRDefault="00303B66">
      <w:pPr>
        <w:widowControl/>
        <w:numPr>
          <w:ilvl w:val="0"/>
          <w:numId w:val="21"/>
        </w:numPr>
        <w:tabs>
          <w:tab w:val="left" w:pos="855"/>
        </w:tabs>
        <w:suppressAutoHyphens w:val="0"/>
        <w:ind w:left="567" w:firstLine="0"/>
        <w:jc w:val="both"/>
        <w:rPr>
          <w:rFonts w:eastAsia="Times New Roman"/>
          <w:sz w:val="22"/>
          <w:szCs w:val="22"/>
        </w:rPr>
      </w:pPr>
      <w:r>
        <w:rPr>
          <w:rFonts w:eastAsia="Times New Roman"/>
          <w:sz w:val="22"/>
          <w:szCs w:val="22"/>
        </w:rPr>
        <w:t xml:space="preserve">Cada professor determina qual será a </w:t>
      </w:r>
      <w:r>
        <w:rPr>
          <w:rFonts w:eastAsia="Times New Roman"/>
          <w:bCs/>
          <w:sz w:val="22"/>
          <w:szCs w:val="22"/>
        </w:rPr>
        <w:t>frequência</w:t>
      </w:r>
      <w:r>
        <w:rPr>
          <w:rFonts w:eastAsia="Times New Roman"/>
          <w:sz w:val="22"/>
          <w:szCs w:val="22"/>
        </w:rPr>
        <w:t xml:space="preserve"> dos encontros presenciais obrigatórios;</w:t>
      </w:r>
    </w:p>
    <w:p w:rsidR="00762C45" w:rsidRDefault="00303B66">
      <w:pPr>
        <w:widowControl/>
        <w:numPr>
          <w:ilvl w:val="0"/>
          <w:numId w:val="21"/>
        </w:numPr>
        <w:tabs>
          <w:tab w:val="left" w:pos="855"/>
        </w:tabs>
        <w:suppressAutoHyphens w:val="0"/>
        <w:ind w:left="567" w:firstLine="0"/>
        <w:jc w:val="both"/>
        <w:rPr>
          <w:rFonts w:eastAsia="Times New Roman"/>
          <w:sz w:val="22"/>
          <w:szCs w:val="22"/>
        </w:rPr>
      </w:pPr>
      <w:r>
        <w:rPr>
          <w:rFonts w:eastAsia="Times New Roman"/>
          <w:sz w:val="22"/>
          <w:szCs w:val="22"/>
        </w:rPr>
        <w:t>É um curso presencial, portanto 80% das disciplinas</w:t>
      </w:r>
      <w:r>
        <w:rPr>
          <w:rFonts w:eastAsia="Times New Roman"/>
          <w:b/>
          <w:bCs/>
          <w:sz w:val="22"/>
          <w:szCs w:val="22"/>
        </w:rPr>
        <w:t xml:space="preserve"> </w:t>
      </w:r>
      <w:r>
        <w:rPr>
          <w:rFonts w:eastAsia="Times New Roman"/>
          <w:bCs/>
          <w:sz w:val="22"/>
          <w:szCs w:val="22"/>
        </w:rPr>
        <w:t>não são à distância</w:t>
      </w:r>
      <w:r>
        <w:rPr>
          <w:rFonts w:eastAsia="Times New Roman"/>
          <w:sz w:val="22"/>
          <w:szCs w:val="22"/>
        </w:rPr>
        <w:t>.</w:t>
      </w: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Este modelo é ideal para quem busca mais flexibilidade em seu curso técnico presencial. Vale lembrar que as disciplinas a distância não são mais fáceis nem exigem menos do aluno que se compromete a realizar as atividades, entregar os trabalhos nos prazos combinados e participar das discussões. Ou seja, </w:t>
      </w:r>
      <w:r>
        <w:rPr>
          <w:rFonts w:eastAsia="Times New Roman"/>
          <w:bCs/>
          <w:sz w:val="22"/>
          <w:szCs w:val="22"/>
        </w:rPr>
        <w:t>mesmo a distância o aluno está presente</w:t>
      </w:r>
      <w:r>
        <w:rPr>
          <w:rFonts w:eastAsia="Times New Roman"/>
          <w:sz w:val="22"/>
          <w:szCs w:val="22"/>
        </w:rPr>
        <w:t>!</w:t>
      </w:r>
    </w:p>
    <w:p w:rsidR="00762C45" w:rsidRDefault="00303B66">
      <w:pPr>
        <w:ind w:firstLine="567"/>
        <w:jc w:val="both"/>
        <w:rPr>
          <w:sz w:val="22"/>
          <w:szCs w:val="22"/>
        </w:rPr>
      </w:pPr>
      <w:r>
        <w:rPr>
          <w:sz w:val="22"/>
          <w:szCs w:val="22"/>
        </w:rPr>
        <w:t xml:space="preserve">Um dos objetivos previstos no PDI do IFPA é regulamentar a oferta da EaD, criando instrumentos legais para sua consolidação no âmbito do Instituto. Com isto o IFPA se credencia junto ao MEC para oferta desses cursos e, particularmente com relação ao CAV, pretende-se criar os Polos de Educação a Distância nos 11 (onze) municípios da sua região de abrangência priorizando-se, num primeiro momento Santo Antonio do Tauá, São Caetano de Odivelas, Colares, Curuçá, São João da Ponta e Terra Alta. </w:t>
      </w:r>
    </w:p>
    <w:p w:rsidR="00762C45" w:rsidRDefault="00303B66">
      <w:pPr>
        <w:ind w:firstLine="567"/>
        <w:jc w:val="both"/>
        <w:rPr>
          <w:color w:val="FF0000"/>
          <w:sz w:val="22"/>
          <w:szCs w:val="22"/>
        </w:rPr>
      </w:pPr>
      <w:r>
        <w:rPr>
          <w:sz w:val="22"/>
          <w:szCs w:val="22"/>
        </w:rPr>
        <w:t xml:space="preserve">O estabelecimento da infraestrutura do </w:t>
      </w:r>
      <w:r>
        <w:rPr>
          <w:i/>
          <w:sz w:val="22"/>
          <w:szCs w:val="22"/>
        </w:rPr>
        <w:t>Campus</w:t>
      </w:r>
      <w:r>
        <w:rPr>
          <w:sz w:val="22"/>
          <w:szCs w:val="22"/>
        </w:rPr>
        <w:t xml:space="preserve"> de Tecnologias Educacionais e Educação à Distância (CTEAD) em Belém dará o apoio necessário para que o CAV possa atuar nessa modalidade de Educação, proporcionando maiores oportunidades de melhoria do nível de escolaridade da população desses municípios.</w:t>
      </w:r>
    </w:p>
    <w:p w:rsidR="00762C45" w:rsidRDefault="00762C45">
      <w:pPr>
        <w:ind w:firstLine="567"/>
        <w:jc w:val="both"/>
        <w:rPr>
          <w:sz w:val="22"/>
          <w:szCs w:val="22"/>
        </w:rPr>
      </w:pPr>
    </w:p>
    <w:p w:rsidR="00762C45" w:rsidRDefault="00303B66">
      <w:pPr>
        <w:pStyle w:val="Estilo3"/>
        <w:ind w:firstLine="567"/>
      </w:pPr>
      <w:bookmarkStart w:id="37" w:name="_Toc474391178"/>
      <w:bookmarkEnd w:id="37"/>
      <w:r>
        <w:t>3.2.4 Programas de monitoria</w:t>
      </w:r>
    </w:p>
    <w:p w:rsidR="00762C45" w:rsidRDefault="00762C45">
      <w:pPr>
        <w:ind w:firstLine="567"/>
        <w:jc w:val="both"/>
        <w:rPr>
          <w:color w:val="FF0000"/>
          <w:sz w:val="22"/>
          <w:szCs w:val="22"/>
        </w:rPr>
      </w:pPr>
    </w:p>
    <w:p w:rsidR="00762C45" w:rsidRDefault="00303B66">
      <w:pPr>
        <w:ind w:firstLine="567"/>
        <w:jc w:val="both"/>
        <w:rPr>
          <w:sz w:val="22"/>
          <w:szCs w:val="22"/>
        </w:rPr>
      </w:pPr>
      <w:r>
        <w:rPr>
          <w:sz w:val="22"/>
          <w:szCs w:val="22"/>
        </w:rPr>
        <w:t xml:space="preserve">O Programa de monitoria visa proporcionar aos discentes a participação efetiva e dinâmica em projeto acadêmico de ensino, no âmbito de determinada unidade curricular, sob a orientação direta do docente responsável pela mesma. O monitor tem o seu trabalho acompanhado por um professor-supervisor. </w:t>
      </w:r>
    </w:p>
    <w:p w:rsidR="00762C45" w:rsidRDefault="00303B66">
      <w:pPr>
        <w:ind w:firstLine="567"/>
        <w:jc w:val="both"/>
        <w:rPr>
          <w:sz w:val="22"/>
          <w:szCs w:val="22"/>
        </w:rPr>
      </w:pPr>
      <w:r>
        <w:rPr>
          <w:sz w:val="22"/>
          <w:szCs w:val="22"/>
        </w:rPr>
        <w:t>Os objetivos da monitoria incluem:</w:t>
      </w:r>
    </w:p>
    <w:p w:rsidR="00762C45" w:rsidRDefault="00303B66">
      <w:pPr>
        <w:pStyle w:val="PargrafodaLista"/>
        <w:numPr>
          <w:ilvl w:val="0"/>
          <w:numId w:val="6"/>
        </w:numPr>
        <w:tabs>
          <w:tab w:val="left" w:pos="284"/>
        </w:tabs>
        <w:spacing w:line="240" w:lineRule="auto"/>
        <w:ind w:left="0" w:firstLine="0"/>
        <w:rPr>
          <w:rFonts w:ascii="Times New Roman" w:hAnsi="Times New Roman" w:cs="Times New Roman"/>
          <w:color w:val="00000A"/>
          <w:sz w:val="22"/>
          <w:szCs w:val="22"/>
        </w:rPr>
      </w:pPr>
      <w:r>
        <w:rPr>
          <w:rFonts w:ascii="Times New Roman" w:hAnsi="Times New Roman" w:cs="Times New Roman"/>
          <w:color w:val="00000A"/>
          <w:sz w:val="22"/>
          <w:szCs w:val="22"/>
        </w:rPr>
        <w:t>dar suporte ao corpo discente, visando à melhoria do rendimento escolar;</w:t>
      </w:r>
    </w:p>
    <w:p w:rsidR="00762C45" w:rsidRDefault="00303B66">
      <w:pPr>
        <w:pStyle w:val="PargrafodaLista"/>
        <w:numPr>
          <w:ilvl w:val="0"/>
          <w:numId w:val="6"/>
        </w:numPr>
        <w:tabs>
          <w:tab w:val="left" w:pos="284"/>
        </w:tabs>
        <w:spacing w:line="240" w:lineRule="auto"/>
        <w:ind w:left="0" w:firstLine="0"/>
        <w:rPr>
          <w:rFonts w:ascii="Times New Roman" w:hAnsi="Times New Roman" w:cs="Times New Roman"/>
          <w:color w:val="00000A"/>
          <w:sz w:val="22"/>
          <w:szCs w:val="22"/>
        </w:rPr>
      </w:pPr>
      <w:r>
        <w:rPr>
          <w:rFonts w:ascii="Times New Roman" w:hAnsi="Times New Roman" w:cs="Times New Roman"/>
          <w:color w:val="00000A"/>
          <w:sz w:val="22"/>
          <w:szCs w:val="22"/>
        </w:rPr>
        <w:t>despertar o gosto pela carreira docente nos alunos que apresentem rendimento escolar geral comprovadamente satisfatório;</w:t>
      </w:r>
    </w:p>
    <w:p w:rsidR="00762C45" w:rsidRDefault="00303B66">
      <w:pPr>
        <w:pStyle w:val="PargrafodaLista"/>
        <w:numPr>
          <w:ilvl w:val="0"/>
          <w:numId w:val="6"/>
        </w:numPr>
        <w:tabs>
          <w:tab w:val="left" w:pos="284"/>
        </w:tabs>
        <w:spacing w:line="240" w:lineRule="auto"/>
        <w:ind w:left="0" w:firstLine="0"/>
        <w:rPr>
          <w:rFonts w:ascii="Times New Roman" w:hAnsi="Times New Roman" w:cs="Times New Roman"/>
          <w:color w:val="00000A"/>
          <w:sz w:val="22"/>
          <w:szCs w:val="22"/>
        </w:rPr>
      </w:pPr>
      <w:r>
        <w:rPr>
          <w:rFonts w:ascii="Times New Roman" w:hAnsi="Times New Roman" w:cs="Times New Roman"/>
          <w:color w:val="00000A"/>
          <w:sz w:val="22"/>
          <w:szCs w:val="22"/>
        </w:rPr>
        <w:t>estimular a cooperação dos discentes nas atividades de ensino;</w:t>
      </w:r>
    </w:p>
    <w:p w:rsidR="00762C45" w:rsidRDefault="00303B66">
      <w:pPr>
        <w:pStyle w:val="PargrafodaLista"/>
        <w:numPr>
          <w:ilvl w:val="0"/>
          <w:numId w:val="6"/>
        </w:numPr>
        <w:tabs>
          <w:tab w:val="left" w:pos="284"/>
        </w:tabs>
        <w:spacing w:line="240" w:lineRule="auto"/>
        <w:ind w:left="0" w:firstLine="0"/>
        <w:rPr>
          <w:rFonts w:ascii="Times New Roman" w:hAnsi="Times New Roman" w:cs="Times New Roman"/>
          <w:color w:val="00000A"/>
          <w:sz w:val="22"/>
          <w:szCs w:val="22"/>
        </w:rPr>
      </w:pPr>
      <w:r>
        <w:rPr>
          <w:rFonts w:ascii="Times New Roman" w:hAnsi="Times New Roman" w:cs="Times New Roman"/>
          <w:color w:val="00000A"/>
          <w:sz w:val="22"/>
          <w:szCs w:val="22"/>
        </w:rPr>
        <w:t>estimular o aluno a desenvolver habilidades que favoreçam a iniciação à docência;</w:t>
      </w:r>
    </w:p>
    <w:p w:rsidR="00762C45" w:rsidRDefault="00303B66">
      <w:pPr>
        <w:pStyle w:val="PargrafodaLista"/>
        <w:numPr>
          <w:ilvl w:val="0"/>
          <w:numId w:val="6"/>
        </w:numPr>
        <w:tabs>
          <w:tab w:val="left" w:pos="284"/>
        </w:tabs>
        <w:spacing w:line="240" w:lineRule="auto"/>
        <w:ind w:left="0" w:firstLine="0"/>
        <w:rPr>
          <w:rFonts w:ascii="Times New Roman" w:hAnsi="Times New Roman" w:cs="Times New Roman"/>
          <w:color w:val="00000A"/>
          <w:sz w:val="22"/>
          <w:szCs w:val="22"/>
        </w:rPr>
      </w:pPr>
      <w:r>
        <w:rPr>
          <w:rFonts w:ascii="Times New Roman" w:hAnsi="Times New Roman" w:cs="Times New Roman"/>
          <w:color w:val="00000A"/>
          <w:sz w:val="22"/>
          <w:szCs w:val="22"/>
        </w:rPr>
        <w:t>constituir um elo entre professores e estudantes, visando o melhor ajustamento entre a execução dos programas e o desenvolvimento natural da aprendizagem.</w:t>
      </w:r>
    </w:p>
    <w:p w:rsidR="00762C45" w:rsidRDefault="00303B66">
      <w:pPr>
        <w:ind w:firstLine="567"/>
        <w:jc w:val="both"/>
        <w:rPr>
          <w:sz w:val="22"/>
          <w:szCs w:val="22"/>
        </w:rPr>
      </w:pPr>
      <w:r>
        <w:rPr>
          <w:sz w:val="22"/>
          <w:szCs w:val="22"/>
        </w:rPr>
        <w:t xml:space="preserve">A monitoria poderá ser exercida de forma remunerada ou voluntária, sendo que a remunerada depende do orçamento do </w:t>
      </w:r>
      <w:r>
        <w:rPr>
          <w:i/>
          <w:sz w:val="22"/>
          <w:szCs w:val="22"/>
        </w:rPr>
        <w:t>campus</w:t>
      </w:r>
      <w:r>
        <w:rPr>
          <w:sz w:val="22"/>
          <w:szCs w:val="22"/>
        </w:rPr>
        <w:t xml:space="preserve"> consignado na Lei Orçamentária Anual (LOA) e distribuída entre os cursos com base em critérios estabelecido em edital público, podendo concorrer alunos regularmente matriculados e que tenham tido bom rendimento na disciplina objeto da seleção. </w:t>
      </w:r>
    </w:p>
    <w:p w:rsidR="00762C45" w:rsidRDefault="00303B66">
      <w:pPr>
        <w:ind w:firstLine="567"/>
        <w:jc w:val="both"/>
        <w:rPr>
          <w:sz w:val="22"/>
          <w:szCs w:val="22"/>
        </w:rPr>
      </w:pPr>
      <w:r>
        <w:rPr>
          <w:sz w:val="22"/>
          <w:szCs w:val="22"/>
        </w:rPr>
        <w:t>A seleção dos candidatos deverá ser feita mediante a realização de avaliação específica sobre o conteúdo programático da unidade curricular respectiva.</w:t>
      </w:r>
    </w:p>
    <w:p w:rsidR="00762C45" w:rsidRDefault="00303B66">
      <w:pPr>
        <w:pStyle w:val="Estilo20"/>
        <w:rPr>
          <w:rStyle w:val="Estilo2Char"/>
          <w:i/>
          <w:szCs w:val="22"/>
        </w:rPr>
      </w:pPr>
      <w:bookmarkStart w:id="38" w:name="_Toc474391179"/>
      <w:r>
        <w:lastRenderedPageBreak/>
        <w:t>3.3. Políticas de Ensino e Ações Acadêmico-Administrativas para os Cursos de Pós-</w:t>
      </w:r>
      <w:r>
        <w:rPr>
          <w:rStyle w:val="Estilo2Char"/>
          <w:szCs w:val="22"/>
        </w:rPr>
        <w:t>Graduação s</w:t>
      </w:r>
      <w:r>
        <w:rPr>
          <w:rStyle w:val="Estilo2Char"/>
          <w:i/>
          <w:szCs w:val="22"/>
        </w:rPr>
        <w:t>tricto sensu</w:t>
      </w:r>
      <w:bookmarkEnd w:id="38"/>
      <w:r>
        <w:rPr>
          <w:rStyle w:val="Estilo2Char"/>
          <w:i/>
          <w:szCs w:val="22"/>
        </w:rPr>
        <w:t xml:space="preserve"> </w:t>
      </w:r>
    </w:p>
    <w:p w:rsidR="00762C45" w:rsidRDefault="00762C45">
      <w:pPr>
        <w:ind w:firstLine="567"/>
        <w:jc w:val="both"/>
        <w:rPr>
          <w:color w:val="FF0000"/>
          <w:sz w:val="22"/>
          <w:szCs w:val="22"/>
        </w:rPr>
      </w:pPr>
    </w:p>
    <w:p w:rsidR="00762C45" w:rsidRDefault="00303B66">
      <w:pPr>
        <w:ind w:firstLine="567"/>
        <w:jc w:val="both"/>
        <w:rPr>
          <w:sz w:val="22"/>
          <w:szCs w:val="22"/>
        </w:rPr>
      </w:pPr>
      <w:r>
        <w:rPr>
          <w:sz w:val="22"/>
          <w:szCs w:val="22"/>
        </w:rPr>
        <w:t xml:space="preserve">Para o período estabelecido neste PDC o </w:t>
      </w:r>
      <w:r>
        <w:rPr>
          <w:i/>
          <w:sz w:val="22"/>
          <w:szCs w:val="22"/>
        </w:rPr>
        <w:t>Campus</w:t>
      </w:r>
      <w:r>
        <w:rPr>
          <w:sz w:val="22"/>
          <w:szCs w:val="22"/>
        </w:rPr>
        <w:t xml:space="preserve"> Avançado Vigia ainda não cogita a realização de cursos de pós-graduação </w:t>
      </w:r>
      <w:r>
        <w:rPr>
          <w:i/>
          <w:sz w:val="22"/>
          <w:szCs w:val="22"/>
        </w:rPr>
        <w:t>stricto sensu</w:t>
      </w:r>
      <w:r>
        <w:rPr>
          <w:sz w:val="22"/>
          <w:szCs w:val="22"/>
        </w:rPr>
        <w:t xml:space="preserve"> entretanto, durante esse período pretende-se preparar a base acadêmica-administrativa que dará sustentação a esses futuros cursos, incluindo a qualificação docente em nível de doutorado, a produção científica através de grupos de pesquisa registrados no CNPq, a melhoria do acervo bibliográfico e a celebração de convênios de cooperação com instituições reconhecidas pela CAPES. </w:t>
      </w:r>
    </w:p>
    <w:p w:rsidR="00762C45" w:rsidRDefault="00303B66">
      <w:pPr>
        <w:ind w:firstLine="567"/>
        <w:jc w:val="both"/>
        <w:rPr>
          <w:sz w:val="22"/>
          <w:szCs w:val="22"/>
        </w:rPr>
      </w:pPr>
      <w:r>
        <w:rPr>
          <w:sz w:val="22"/>
          <w:szCs w:val="22"/>
        </w:rPr>
        <w:t xml:space="preserve">Esses itens são considerados importantes para que o CAV oferte os seus cursos de pós-graduação </w:t>
      </w:r>
      <w:r>
        <w:rPr>
          <w:i/>
          <w:sz w:val="22"/>
          <w:szCs w:val="22"/>
        </w:rPr>
        <w:t>stricto sensu</w:t>
      </w:r>
      <w:r>
        <w:rPr>
          <w:sz w:val="22"/>
          <w:szCs w:val="22"/>
        </w:rPr>
        <w:t xml:space="preserve"> a partir de 2019 no nível de mestrado, contemplando áreas que já sejam do seu domínio nos cursos técnicos, garantindo a verticalização do ensino conforme preconiza a Lei de criação dos Institutos Federais.</w:t>
      </w:r>
    </w:p>
    <w:p w:rsidR="00762C45" w:rsidRDefault="00762C45">
      <w:pPr>
        <w:jc w:val="both"/>
        <w:rPr>
          <w:b/>
          <w:bCs/>
          <w:sz w:val="22"/>
          <w:szCs w:val="22"/>
        </w:rPr>
      </w:pPr>
    </w:p>
    <w:p w:rsidR="00762C45" w:rsidRDefault="00303B66">
      <w:pPr>
        <w:pStyle w:val="Estilo20"/>
      </w:pPr>
      <w:bookmarkStart w:id="39" w:name="_Toc474391180"/>
      <w:r>
        <w:t xml:space="preserve">3.4 Políticas de Ensino e Ações Acadêmico-Administrativas para os Cursos de Pós-Graduação </w:t>
      </w:r>
      <w:bookmarkEnd w:id="39"/>
      <w:r>
        <w:rPr>
          <w:i/>
          <w:iCs/>
        </w:rPr>
        <w:t>Lato Sensu</w:t>
      </w:r>
    </w:p>
    <w:p w:rsidR="00762C45" w:rsidRDefault="00762C45">
      <w:pPr>
        <w:ind w:firstLine="567"/>
        <w:jc w:val="both"/>
        <w:rPr>
          <w:color w:val="FF0000"/>
          <w:sz w:val="22"/>
          <w:szCs w:val="22"/>
        </w:rPr>
      </w:pPr>
    </w:p>
    <w:p w:rsidR="00762C45" w:rsidRDefault="00303B66">
      <w:pPr>
        <w:ind w:firstLine="567"/>
        <w:jc w:val="both"/>
        <w:rPr>
          <w:sz w:val="22"/>
          <w:szCs w:val="22"/>
        </w:rPr>
      </w:pPr>
      <w:r>
        <w:rPr>
          <w:color w:val="000000"/>
          <w:sz w:val="22"/>
          <w:szCs w:val="22"/>
        </w:rPr>
        <w:t>O C</w:t>
      </w:r>
      <w:r>
        <w:rPr>
          <w:i/>
          <w:iCs/>
          <w:color w:val="000000"/>
          <w:sz w:val="22"/>
          <w:szCs w:val="22"/>
        </w:rPr>
        <w:t xml:space="preserve">ampus </w:t>
      </w:r>
      <w:r>
        <w:rPr>
          <w:color w:val="000000"/>
          <w:sz w:val="22"/>
          <w:szCs w:val="22"/>
        </w:rPr>
        <w:t>Avançado Vigia tem interesse em fomentar a reflexão crítica e a construção do conhecimento, de tal forma que possa haver uma interação entre os diversos saberes e ao mesmo tempo capacitar recursos humanos na região, em especial, na área da educação, dos recursos naturais, do turismo, hospitalidade e lazer, comunicação e tecnologia.</w:t>
      </w:r>
    </w:p>
    <w:p w:rsidR="00762C45" w:rsidRDefault="00303B66">
      <w:pPr>
        <w:ind w:firstLine="567"/>
        <w:jc w:val="both"/>
        <w:rPr>
          <w:sz w:val="22"/>
          <w:szCs w:val="22"/>
        </w:rPr>
      </w:pPr>
      <w:r>
        <w:rPr>
          <w:color w:val="000000"/>
          <w:sz w:val="22"/>
          <w:szCs w:val="22"/>
        </w:rPr>
        <w:t xml:space="preserve">Concebe-se a pós-graduação como um espaço de produção e de socialização de conhecimentos, fortalecido pelo protagonismo dos sujeitos envolvidos e pelo desenvolvimento da cultura da pesquisa na dinâmica das atuações docente e discente. É um espaço fortalecido também pela responsabilidade social inerente ao processo de produção socioeconômica e de formação profissional. </w:t>
      </w:r>
    </w:p>
    <w:p w:rsidR="00762C45" w:rsidRDefault="00303B66">
      <w:pPr>
        <w:ind w:firstLine="567"/>
        <w:jc w:val="both"/>
        <w:rPr>
          <w:color w:val="000000"/>
          <w:sz w:val="22"/>
          <w:szCs w:val="22"/>
        </w:rPr>
      </w:pPr>
      <w:r>
        <w:rPr>
          <w:color w:val="000000"/>
          <w:sz w:val="22"/>
          <w:szCs w:val="22"/>
        </w:rPr>
        <w:t xml:space="preserve">Assim, esse </w:t>
      </w:r>
      <w:r>
        <w:rPr>
          <w:i/>
          <w:iCs/>
          <w:color w:val="000000"/>
          <w:sz w:val="22"/>
          <w:szCs w:val="22"/>
        </w:rPr>
        <w:t xml:space="preserve">campus </w:t>
      </w:r>
      <w:r>
        <w:rPr>
          <w:color w:val="000000"/>
          <w:sz w:val="22"/>
          <w:szCs w:val="22"/>
        </w:rPr>
        <w:t xml:space="preserve">pretende, primeiramente, ofertar cursos de pós-graduação </w:t>
      </w:r>
      <w:r>
        <w:rPr>
          <w:i/>
          <w:iCs/>
          <w:color w:val="000000"/>
          <w:sz w:val="22"/>
          <w:szCs w:val="22"/>
        </w:rPr>
        <w:t xml:space="preserve">lato sensu </w:t>
      </w:r>
      <w:r>
        <w:rPr>
          <w:color w:val="000000"/>
          <w:sz w:val="22"/>
          <w:szCs w:val="22"/>
        </w:rPr>
        <w:t xml:space="preserve">na área da Educação do Campo </w:t>
      </w:r>
      <w:r>
        <w:rPr>
          <w:sz w:val="22"/>
          <w:szCs w:val="22"/>
        </w:rPr>
        <w:t>a partir de 2017,</w:t>
      </w:r>
      <w:r>
        <w:rPr>
          <w:color w:val="000000"/>
          <w:sz w:val="22"/>
          <w:szCs w:val="22"/>
        </w:rPr>
        <w:t xml:space="preserve"> cabendo ressaltar que já houve a oferta de um curso de especialização em Educação do Campo, Currículo e Agricultura Familiar, em 2012, cujo PPC se encontra em fase de revisão.</w:t>
      </w:r>
    </w:p>
    <w:p w:rsidR="00762C45" w:rsidRDefault="00303B66">
      <w:pPr>
        <w:ind w:firstLine="567"/>
        <w:jc w:val="both"/>
        <w:rPr>
          <w:sz w:val="22"/>
          <w:szCs w:val="22"/>
        </w:rPr>
      </w:pPr>
      <w:r>
        <w:rPr>
          <w:color w:val="000000"/>
          <w:sz w:val="22"/>
          <w:szCs w:val="22"/>
        </w:rPr>
        <w:t xml:space="preserve"> A organização dos cursos superiores de pós-graduação</w:t>
      </w:r>
      <w:r>
        <w:rPr>
          <w:i/>
          <w:iCs/>
          <w:color w:val="000000"/>
          <w:sz w:val="22"/>
          <w:szCs w:val="22"/>
        </w:rPr>
        <w:t xml:space="preserve"> lato sensu</w:t>
      </w:r>
      <w:r>
        <w:rPr>
          <w:color w:val="000000"/>
          <w:sz w:val="22"/>
          <w:szCs w:val="22"/>
        </w:rPr>
        <w:t>, deverão ocorrer em regime modular e alternância pedagógica, com duração de cerca de 12 meses, com uma carga horária mínima de 424 horas, sendo 375 horas de tempo escola e o restante destinado à pesquisa no tempo comunidade. Só deverão se matricular candidatos que tenham como comprovar a conclusão do ensino superior.</w:t>
      </w:r>
    </w:p>
    <w:p w:rsidR="00762C45" w:rsidRDefault="00303B66">
      <w:pPr>
        <w:ind w:firstLine="567"/>
        <w:jc w:val="both"/>
        <w:rPr>
          <w:sz w:val="22"/>
          <w:szCs w:val="22"/>
        </w:rPr>
      </w:pPr>
      <w:r>
        <w:rPr>
          <w:sz w:val="22"/>
          <w:szCs w:val="22"/>
        </w:rPr>
        <w:t xml:space="preserve">O Quadro 7 sintetiza a proposta de oferta de cursos de pós-graduação </w:t>
      </w:r>
      <w:r>
        <w:rPr>
          <w:i/>
          <w:sz w:val="22"/>
          <w:szCs w:val="22"/>
        </w:rPr>
        <w:t>lato sensu</w:t>
      </w:r>
      <w:r>
        <w:rPr>
          <w:sz w:val="22"/>
          <w:szCs w:val="22"/>
        </w:rPr>
        <w:t xml:space="preserve"> no período de vigência do PDC do Campus Avançado Vigia.</w:t>
      </w:r>
    </w:p>
    <w:p w:rsidR="00762C45" w:rsidRDefault="00303B66">
      <w:pPr>
        <w:pStyle w:val="Legenda"/>
        <w:keepNext/>
        <w:ind w:left="0" w:firstLine="0"/>
        <w:jc w:val="center"/>
      </w:pPr>
      <w:bookmarkStart w:id="40" w:name="_Toc474391115"/>
      <w:bookmarkStart w:id="41" w:name="_Toc472974285"/>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7</w:t>
      </w:r>
      <w:r>
        <w:fldChar w:fldCharType="end"/>
      </w:r>
      <w:r>
        <w:rPr>
          <w:rFonts w:ascii="Times New Roman" w:hAnsi="Times New Roman" w:cs="Times New Roman"/>
          <w:b/>
          <w:i w:val="0"/>
          <w:sz w:val="20"/>
          <w:szCs w:val="20"/>
        </w:rPr>
        <w:t xml:space="preserve">. Cursos de pós-graduação </w:t>
      </w:r>
      <w:r>
        <w:rPr>
          <w:rFonts w:ascii="Times New Roman" w:hAnsi="Times New Roman" w:cs="Times New Roman"/>
          <w:b/>
          <w:sz w:val="20"/>
          <w:szCs w:val="20"/>
        </w:rPr>
        <w:t>lato sensu</w:t>
      </w:r>
      <w:bookmarkEnd w:id="40"/>
      <w:bookmarkEnd w:id="41"/>
      <w:r>
        <w:rPr>
          <w:rFonts w:ascii="Times New Roman" w:hAnsi="Times New Roman" w:cs="Times New Roman"/>
          <w:b/>
          <w:i w:val="0"/>
          <w:sz w:val="20"/>
          <w:szCs w:val="20"/>
        </w:rPr>
        <w:t xml:space="preserve"> a serem ofertados pelo CAV no período 2017-2018</w:t>
      </w:r>
    </w:p>
    <w:p w:rsidR="00762C45" w:rsidRDefault="00303B66">
      <w:pPr>
        <w:pStyle w:val="Estilo20"/>
      </w:pPr>
      <w:bookmarkStart w:id="42" w:name="_Toc474391181"/>
      <w:bookmarkEnd w:id="42"/>
      <w:r>
        <w:rPr>
          <w:noProof/>
        </w:rPr>
        <w:drawing>
          <wp:anchor distT="0" distB="0" distL="133350" distR="122555" simplePos="0" relativeHeight="6" behindDoc="0" locked="0" layoutInCell="1" allowOverlap="1">
            <wp:simplePos x="0" y="0"/>
            <wp:positionH relativeFrom="column">
              <wp:posOffset>772795</wp:posOffset>
            </wp:positionH>
            <wp:positionV relativeFrom="paragraph">
              <wp:posOffset>19685</wp:posOffset>
            </wp:positionV>
            <wp:extent cx="5097145" cy="1944370"/>
            <wp:effectExtent l="0" t="0" r="0" b="0"/>
            <wp:wrapSquare wrapText="bothSides"/>
            <wp:docPr id="11"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6"/>
                    <pic:cNvPicPr>
                      <a:picLocks noChangeAspect="1" noChangeArrowheads="1"/>
                    </pic:cNvPicPr>
                  </pic:nvPicPr>
                  <pic:blipFill>
                    <a:blip r:embed="rId17"/>
                    <a:stretch>
                      <a:fillRect/>
                    </a:stretch>
                  </pic:blipFill>
                  <pic:spPr bwMode="auto">
                    <a:xfrm>
                      <a:off x="0" y="0"/>
                      <a:ext cx="5097145" cy="1944370"/>
                    </a:xfrm>
                    <a:prstGeom prst="rect">
                      <a:avLst/>
                    </a:prstGeom>
                  </pic:spPr>
                </pic:pic>
              </a:graphicData>
            </a:graphic>
          </wp:anchor>
        </w:drawing>
      </w: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762C45">
      <w:pPr>
        <w:pStyle w:val="Estilo20"/>
      </w:pPr>
    </w:p>
    <w:p w:rsidR="00762C45" w:rsidRDefault="00303B66">
      <w:pPr>
        <w:pStyle w:val="Estilo20"/>
      </w:pPr>
      <w:bookmarkStart w:id="43" w:name="_Toc474391182"/>
      <w:r>
        <w:t>3.5 Políticas Institucionais e Ações Acadêmico-Administrativas para a Pesquisa ou Iniciação Científica e Tecnológica</w:t>
      </w:r>
      <w:bookmarkEnd w:id="43"/>
      <w:r>
        <w:t xml:space="preserve"> </w:t>
      </w:r>
    </w:p>
    <w:p w:rsidR="00762C45" w:rsidRDefault="00762C45">
      <w:pPr>
        <w:ind w:firstLine="567"/>
        <w:jc w:val="both"/>
        <w:rPr>
          <w:color w:val="FF420E"/>
        </w:rPr>
      </w:pPr>
    </w:p>
    <w:p w:rsidR="00762C45" w:rsidRDefault="00303B66">
      <w:pPr>
        <w:ind w:firstLine="567"/>
        <w:jc w:val="both"/>
      </w:pPr>
      <w:r>
        <w:rPr>
          <w:color w:val="000000"/>
          <w:sz w:val="22"/>
          <w:szCs w:val="22"/>
        </w:rPr>
        <w:t xml:space="preserve">As atividades de pesquisa no CAV tiveram um avanço a partir de 2016 com a contratação de docentes com qualificação em nível de doutorado, os quais vêm contribuindo para o fortalecimento dessa atividade. Esse quadro possibilitou a implantação da Coordenação de Pesquisa e Extensão no âmbito do </w:t>
      </w:r>
      <w:r>
        <w:rPr>
          <w:i/>
          <w:iCs/>
          <w:color w:val="000000"/>
          <w:sz w:val="22"/>
          <w:szCs w:val="22"/>
        </w:rPr>
        <w:t>campus</w:t>
      </w:r>
      <w:r>
        <w:rPr>
          <w:color w:val="000000"/>
          <w:sz w:val="22"/>
          <w:szCs w:val="22"/>
        </w:rPr>
        <w:t xml:space="preserve">, bem como a construção </w:t>
      </w:r>
      <w:r>
        <w:rPr>
          <w:color w:val="000000"/>
          <w:sz w:val="22"/>
          <w:szCs w:val="22"/>
        </w:rPr>
        <w:lastRenderedPageBreak/>
        <w:t xml:space="preserve">de um grupo de pesquisa multidisciplinar, que passará a atuar em 3 (três) linhas: </w:t>
      </w:r>
      <w:r>
        <w:rPr>
          <w:b/>
          <w:sz w:val="22"/>
          <w:szCs w:val="22"/>
        </w:rPr>
        <w:t>Desenvolvimento Rural e Manejo dos Recursos Naturais; Turismo, Cultura e Lazer; Informática, Educação e Cultura Digital.</w:t>
      </w:r>
    </w:p>
    <w:p w:rsidR="00762C45" w:rsidRDefault="00303B66">
      <w:pPr>
        <w:ind w:firstLine="567"/>
        <w:jc w:val="both"/>
        <w:rPr>
          <w:sz w:val="22"/>
          <w:szCs w:val="22"/>
        </w:rPr>
      </w:pPr>
      <w:r>
        <w:rPr>
          <w:color w:val="000000"/>
          <w:sz w:val="22"/>
          <w:szCs w:val="22"/>
        </w:rPr>
        <w:t xml:space="preserve">A pesquisa referendada no CAV pauta-se em valores éticos, por entender-se que a ética, como princípio de dever e de obrigação da condução humana, embasa a responsabilidade social do conhecimento. </w:t>
      </w:r>
    </w:p>
    <w:p w:rsidR="00762C45" w:rsidRDefault="00303B66">
      <w:pPr>
        <w:ind w:firstLine="567"/>
        <w:jc w:val="both"/>
        <w:rPr>
          <w:color w:val="FF0000"/>
          <w:sz w:val="22"/>
          <w:szCs w:val="22"/>
        </w:rPr>
      </w:pPr>
      <w:r>
        <w:rPr>
          <w:color w:val="000000"/>
          <w:sz w:val="22"/>
          <w:szCs w:val="22"/>
        </w:rPr>
        <w:t>Nesse sentido, destaca-se a pesquisa como integrante da práxis pedagógica – com atitudes respeitosas, ativas, processuais, críticas e reflexivas – alicerçadas nos seguintes princípios:</w:t>
      </w:r>
    </w:p>
    <w:p w:rsidR="00762C45" w:rsidRDefault="00303B66">
      <w:pPr>
        <w:pStyle w:val="PargrafodaLista"/>
        <w:numPr>
          <w:ilvl w:val="0"/>
          <w:numId w:val="13"/>
        </w:numPr>
        <w:spacing w:line="240" w:lineRule="auto"/>
        <w:ind w:left="567" w:hanging="11"/>
        <w:rPr>
          <w:rFonts w:ascii="Times New Roman" w:hAnsi="Times New Roman" w:cs="Times New Roman"/>
          <w:color w:val="00000A"/>
          <w:sz w:val="22"/>
          <w:szCs w:val="22"/>
        </w:rPr>
      </w:pPr>
      <w:r>
        <w:rPr>
          <w:rFonts w:ascii="Times New Roman" w:hAnsi="Times New Roman" w:cs="Times New Roman"/>
          <w:color w:val="00000A"/>
          <w:sz w:val="22"/>
          <w:szCs w:val="22"/>
        </w:rPr>
        <w:t xml:space="preserve">o científico, visa o rigor, método e pesquisa científica; </w:t>
      </w:r>
    </w:p>
    <w:p w:rsidR="00762C45" w:rsidRDefault="00303B66">
      <w:pPr>
        <w:pStyle w:val="PargrafodaLista"/>
        <w:numPr>
          <w:ilvl w:val="0"/>
          <w:numId w:val="13"/>
        </w:numPr>
        <w:spacing w:line="240" w:lineRule="auto"/>
        <w:ind w:left="567" w:hanging="11"/>
        <w:rPr>
          <w:rFonts w:ascii="Times New Roman" w:hAnsi="Times New Roman" w:cs="Times New Roman"/>
          <w:color w:val="00000A"/>
          <w:sz w:val="22"/>
          <w:szCs w:val="22"/>
        </w:rPr>
      </w:pPr>
      <w:r>
        <w:rPr>
          <w:rFonts w:ascii="Times New Roman" w:hAnsi="Times New Roman" w:cs="Times New Roman"/>
          <w:color w:val="00000A"/>
          <w:sz w:val="22"/>
          <w:szCs w:val="22"/>
        </w:rPr>
        <w:t>o respeito aos demais tipos de saberes;</w:t>
      </w:r>
    </w:p>
    <w:p w:rsidR="00762C45" w:rsidRDefault="00303B66">
      <w:pPr>
        <w:pStyle w:val="PargrafodaLista"/>
        <w:numPr>
          <w:ilvl w:val="0"/>
          <w:numId w:val="13"/>
        </w:numPr>
        <w:spacing w:line="240" w:lineRule="auto"/>
        <w:ind w:left="567" w:hanging="11"/>
        <w:rPr>
          <w:rFonts w:ascii="Times New Roman" w:hAnsi="Times New Roman" w:cs="Times New Roman"/>
          <w:color w:val="00000A"/>
          <w:sz w:val="22"/>
          <w:szCs w:val="22"/>
        </w:rPr>
      </w:pPr>
      <w:r>
        <w:rPr>
          <w:rFonts w:ascii="Times New Roman" w:hAnsi="Times New Roman" w:cs="Times New Roman"/>
          <w:color w:val="00000A"/>
          <w:sz w:val="22"/>
          <w:szCs w:val="22"/>
        </w:rPr>
        <w:t xml:space="preserve">o educativo, situando a pesquisa como princípio de formação;  o da indissociabilidade, que propõe maior integração entre ensino, pesquisa e extensão e, </w:t>
      </w:r>
    </w:p>
    <w:p w:rsidR="00762C45" w:rsidRDefault="00303B66">
      <w:pPr>
        <w:pStyle w:val="PargrafodaLista"/>
        <w:numPr>
          <w:ilvl w:val="0"/>
          <w:numId w:val="13"/>
        </w:numPr>
        <w:spacing w:line="240" w:lineRule="auto"/>
        <w:ind w:left="567" w:hanging="11"/>
        <w:rPr>
          <w:rFonts w:ascii="Times New Roman" w:hAnsi="Times New Roman" w:cs="Times New Roman"/>
          <w:color w:val="00000A"/>
          <w:sz w:val="22"/>
          <w:szCs w:val="22"/>
        </w:rPr>
      </w:pPr>
      <w:r>
        <w:rPr>
          <w:rFonts w:ascii="Times New Roman" w:hAnsi="Times New Roman" w:cs="Times New Roman"/>
          <w:color w:val="00000A"/>
          <w:sz w:val="22"/>
          <w:szCs w:val="22"/>
        </w:rPr>
        <w:t>o ético, regendo-se pelo respeito à dignidade da pessoa humana.</w:t>
      </w:r>
    </w:p>
    <w:p w:rsidR="00762C45" w:rsidRDefault="00303B66">
      <w:pPr>
        <w:ind w:firstLine="567"/>
        <w:jc w:val="both"/>
        <w:rPr>
          <w:sz w:val="22"/>
          <w:szCs w:val="22"/>
        </w:rPr>
      </w:pPr>
      <w:r>
        <w:rPr>
          <w:bCs/>
          <w:sz w:val="22"/>
          <w:szCs w:val="22"/>
        </w:rPr>
        <w:t>O Grupo de Estudo, pesquisa e extensão em recursos naturais, culturais e de sistema de computação é constituído pelos seguintes membros:</w:t>
      </w:r>
    </w:p>
    <w:p w:rsidR="00762C45" w:rsidRDefault="00303B66">
      <w:pPr>
        <w:jc w:val="both"/>
        <w:rPr>
          <w:sz w:val="22"/>
          <w:szCs w:val="22"/>
        </w:rPr>
      </w:pPr>
      <w:r>
        <w:rPr>
          <w:sz w:val="22"/>
          <w:szCs w:val="22"/>
        </w:rPr>
        <w:t>Líder: Keila Renata Moreira Mourão</w:t>
      </w:r>
    </w:p>
    <w:p w:rsidR="00762C45" w:rsidRDefault="00303B66">
      <w:pPr>
        <w:jc w:val="both"/>
        <w:rPr>
          <w:sz w:val="22"/>
          <w:szCs w:val="22"/>
        </w:rPr>
      </w:pPr>
      <w:r>
        <w:rPr>
          <w:sz w:val="22"/>
          <w:szCs w:val="22"/>
        </w:rPr>
        <w:t>Vice-líder: Camila Vieira da Silva</w:t>
      </w:r>
    </w:p>
    <w:p w:rsidR="00762C45" w:rsidRDefault="00303B66">
      <w:pPr>
        <w:jc w:val="both"/>
        <w:rPr>
          <w:sz w:val="22"/>
          <w:szCs w:val="22"/>
        </w:rPr>
      </w:pPr>
      <w:r>
        <w:rPr>
          <w:sz w:val="22"/>
          <w:szCs w:val="22"/>
        </w:rPr>
        <w:t>Docentes: Ananias Pereira Neto, Ariwilson Gomes dos Santos, Ylana Priscila da Costa Melo Carvalho, Liliane Amanda Oliveira das Dores e Vanilda de Magalhães Martins Vasconcelos.</w:t>
      </w:r>
    </w:p>
    <w:p w:rsidR="00762C45" w:rsidRDefault="00303B66">
      <w:pPr>
        <w:jc w:val="both"/>
        <w:rPr>
          <w:sz w:val="22"/>
          <w:szCs w:val="22"/>
        </w:rPr>
      </w:pPr>
      <w:r>
        <w:rPr>
          <w:sz w:val="22"/>
          <w:szCs w:val="22"/>
        </w:rPr>
        <w:t>Discentes: Raiane Barbosa, Janice Palheta e Maira Cíntia</w:t>
      </w:r>
    </w:p>
    <w:p w:rsidR="00762C45" w:rsidRDefault="00303B66">
      <w:pPr>
        <w:jc w:val="both"/>
        <w:rPr>
          <w:sz w:val="22"/>
          <w:szCs w:val="22"/>
        </w:rPr>
      </w:pPr>
      <w:r>
        <w:rPr>
          <w:sz w:val="22"/>
          <w:szCs w:val="22"/>
        </w:rPr>
        <w:t>Pesquisador externo: Solange Felicidade Marques Ferreira</w:t>
      </w:r>
    </w:p>
    <w:p w:rsidR="00762C45" w:rsidRDefault="00303B66">
      <w:pPr>
        <w:jc w:val="both"/>
        <w:rPr>
          <w:sz w:val="22"/>
          <w:szCs w:val="22"/>
        </w:rPr>
      </w:pPr>
      <w:r>
        <w:rPr>
          <w:sz w:val="22"/>
          <w:szCs w:val="22"/>
        </w:rPr>
        <w:tab/>
        <w:t>Além disso, como o CAV não tem recurso próprio para fomentar bolsas de iniciação científica, será fortemente estimulado que seus docentes participem de Editais da PROPPG, FAPESPA, CNPq e outros, para estimular a participação de alunos em projeto de pesquisa.</w:t>
      </w:r>
    </w:p>
    <w:p w:rsidR="00762C45" w:rsidRDefault="00762C45">
      <w:pPr>
        <w:ind w:firstLine="567"/>
        <w:jc w:val="both"/>
        <w:rPr>
          <w:sz w:val="22"/>
          <w:szCs w:val="22"/>
        </w:rPr>
      </w:pPr>
    </w:p>
    <w:p w:rsidR="00762C45" w:rsidRDefault="00303B66">
      <w:pPr>
        <w:pStyle w:val="Estilo20"/>
      </w:pPr>
      <w:bookmarkStart w:id="44" w:name="_Toc474391183"/>
      <w:bookmarkEnd w:id="44"/>
      <w:r>
        <w:t>3.6 Políticas Institucionais e Ações Acadêmico-Administrativas para a Extensão</w:t>
      </w:r>
    </w:p>
    <w:p w:rsidR="00762C45" w:rsidRDefault="00762C45">
      <w:pPr>
        <w:spacing w:line="276" w:lineRule="auto"/>
        <w:jc w:val="both"/>
      </w:pPr>
    </w:p>
    <w:p w:rsidR="00762C45" w:rsidRDefault="00303B66">
      <w:pPr>
        <w:tabs>
          <w:tab w:val="left" w:pos="567"/>
        </w:tabs>
        <w:ind w:firstLine="567"/>
        <w:jc w:val="both"/>
        <w:rPr>
          <w:sz w:val="22"/>
          <w:szCs w:val="22"/>
        </w:rPr>
      </w:pPr>
      <w:r>
        <w:rPr>
          <w:color w:val="000000"/>
          <w:sz w:val="22"/>
          <w:szCs w:val="22"/>
        </w:rPr>
        <w:t>A partir da Lei 11.892/2008, em seu art. 7º, Inciso V, os institutos federais objetivam desenvolver atividades de extensão de acordo com os princípios e finalidades da educação profissional e tecnológica, em articulação com o mundo do trabalho e os segmentos sociais e com ênfase na produção, desenvolvimento e difusão de conhecimentos científicos e tecnológicos.</w:t>
      </w:r>
    </w:p>
    <w:p w:rsidR="00762C45" w:rsidRDefault="00303B66">
      <w:pPr>
        <w:tabs>
          <w:tab w:val="left" w:pos="567"/>
        </w:tabs>
        <w:ind w:firstLine="567"/>
        <w:jc w:val="both"/>
        <w:rPr>
          <w:sz w:val="22"/>
          <w:szCs w:val="22"/>
        </w:rPr>
      </w:pPr>
      <w:r>
        <w:rPr>
          <w:color w:val="000000"/>
          <w:sz w:val="22"/>
          <w:szCs w:val="22"/>
        </w:rPr>
        <w:t xml:space="preserve">Assim, o </w:t>
      </w:r>
      <w:r>
        <w:rPr>
          <w:i/>
          <w:iCs/>
          <w:color w:val="000000"/>
          <w:sz w:val="22"/>
          <w:szCs w:val="22"/>
        </w:rPr>
        <w:t>Campus</w:t>
      </w:r>
      <w:r>
        <w:rPr>
          <w:color w:val="000000"/>
          <w:sz w:val="22"/>
          <w:szCs w:val="22"/>
        </w:rPr>
        <w:t xml:space="preserve"> Avançado Vigia busca atender as concepções do conceito de extensão, articulando os mecanismos de ensino e pesquisa e interagindo com a comunidade interna e externa.</w:t>
      </w:r>
    </w:p>
    <w:p w:rsidR="00762C45" w:rsidRDefault="00303B66">
      <w:pPr>
        <w:tabs>
          <w:tab w:val="left" w:pos="567"/>
        </w:tabs>
        <w:ind w:firstLine="567"/>
        <w:jc w:val="both"/>
        <w:rPr>
          <w:sz w:val="22"/>
          <w:szCs w:val="22"/>
        </w:rPr>
      </w:pPr>
      <w:r>
        <w:rPr>
          <w:color w:val="000000"/>
          <w:sz w:val="22"/>
          <w:szCs w:val="22"/>
        </w:rPr>
        <w:t>As ações de extensão são desenvolvidas através de atividades extracurriculares, podendo ser: atividades acadêmicas, científica, cultural, esportiva, técnica ou tecnológica. Nesse sentido, as principais ações de extensão atualmente em execução no CAV incluem: visitas técnicas, aulas práticas, promoção de eventos, acompanhamento de egressos, atividades desportivas e pesquisa no tempo comunidade, no qual os alunos interagem com a comunidade em que atuam.</w:t>
      </w:r>
    </w:p>
    <w:p w:rsidR="00762C45" w:rsidRDefault="00303B66">
      <w:pPr>
        <w:tabs>
          <w:tab w:val="left" w:pos="567"/>
        </w:tabs>
        <w:ind w:firstLine="567"/>
        <w:jc w:val="both"/>
      </w:pPr>
      <w:r>
        <w:rPr>
          <w:color w:val="000000"/>
          <w:sz w:val="22"/>
          <w:szCs w:val="22"/>
        </w:rPr>
        <w:t xml:space="preserve">Entre as atividades de extensão do </w:t>
      </w:r>
      <w:r>
        <w:rPr>
          <w:i/>
          <w:iCs/>
          <w:color w:val="000000"/>
          <w:sz w:val="22"/>
          <w:szCs w:val="22"/>
        </w:rPr>
        <w:t>campus</w:t>
      </w:r>
      <w:r>
        <w:rPr>
          <w:color w:val="000000"/>
          <w:sz w:val="22"/>
          <w:szCs w:val="22"/>
        </w:rPr>
        <w:t xml:space="preserve"> foram desenvolvidas ações pontuais com base na realidade local, principalmente através da oferta do curso de qualificação em Atendente de lanchonete, através do Programa Mulheres Mil e dos cursos de Piscicultor, Produtor de mandioca, Aquicultor, Condutor Ambiental Local, Preparador de Pescado, Operador de Beneficiamento do Pescado e Pescador Profissional, </w:t>
      </w:r>
      <w:r>
        <w:rPr>
          <w:sz w:val="22"/>
          <w:szCs w:val="22"/>
        </w:rPr>
        <w:t xml:space="preserve">do PRONATEC. </w:t>
      </w:r>
    </w:p>
    <w:p w:rsidR="00762C45" w:rsidRDefault="00303B66">
      <w:pPr>
        <w:ind w:firstLine="567"/>
        <w:jc w:val="both"/>
        <w:rPr>
          <w:color w:val="000000"/>
          <w:sz w:val="22"/>
          <w:szCs w:val="22"/>
        </w:rPr>
      </w:pPr>
      <w:r>
        <w:rPr>
          <w:color w:val="000000"/>
          <w:sz w:val="22"/>
          <w:szCs w:val="22"/>
        </w:rPr>
        <w:t xml:space="preserve">A Coordenação de Pesquisa e Extensão do CAV busca desenvolver as atividades de acordo com as finalidades da legislação da educação profissional e tecnológica, em articulação com o mundo do trabalho e os segmentos sociais. </w:t>
      </w:r>
    </w:p>
    <w:p w:rsidR="00762C45" w:rsidRDefault="00762C45">
      <w:pPr>
        <w:jc w:val="both"/>
        <w:rPr>
          <w:b/>
          <w:bCs/>
          <w:color w:val="FF420E"/>
          <w:sz w:val="22"/>
          <w:szCs w:val="22"/>
        </w:rPr>
      </w:pPr>
    </w:p>
    <w:p w:rsidR="00762C45" w:rsidRDefault="00303B66">
      <w:pPr>
        <w:pStyle w:val="Estilo20"/>
      </w:pPr>
      <w:bookmarkStart w:id="45" w:name="_Toc474391184"/>
      <w:bookmarkEnd w:id="45"/>
      <w:r>
        <w:t>3.7 Políticas Institucionais e Ações Acadêmico-Administrativas para a Preservação da Memória, Produção Artística e Patrimônio Cultural</w:t>
      </w:r>
    </w:p>
    <w:p w:rsidR="00762C45" w:rsidRDefault="00762C45">
      <w:pPr>
        <w:jc w:val="both"/>
        <w:rPr>
          <w:color w:val="FF420E"/>
          <w:sz w:val="22"/>
          <w:szCs w:val="22"/>
        </w:rPr>
      </w:pPr>
    </w:p>
    <w:p w:rsidR="00762C45" w:rsidRDefault="00303B66">
      <w:pPr>
        <w:tabs>
          <w:tab w:val="left" w:pos="142"/>
        </w:tabs>
        <w:ind w:firstLine="567"/>
        <w:jc w:val="both"/>
        <w:rPr>
          <w:sz w:val="22"/>
          <w:szCs w:val="22"/>
        </w:rPr>
      </w:pPr>
      <w:r>
        <w:rPr>
          <w:color w:val="000000" w:themeColor="text1"/>
          <w:sz w:val="22"/>
          <w:szCs w:val="22"/>
        </w:rPr>
        <w:t xml:space="preserve">Considerando que o CAV tem sua sede em Vigia, nada mais justo do que destacar o </w:t>
      </w:r>
      <w:r>
        <w:rPr>
          <w:sz w:val="22"/>
          <w:szCs w:val="22"/>
        </w:rPr>
        <w:t>Patrimônio Histórico, Manifestações Culturais e Personalidades Ilustres desse município e estabelecer políticas institucionais para a preservação dessa memória.</w:t>
      </w:r>
    </w:p>
    <w:p w:rsidR="00762C45" w:rsidRDefault="00303B66">
      <w:pPr>
        <w:tabs>
          <w:tab w:val="left" w:pos="142"/>
        </w:tabs>
        <w:ind w:firstLine="567"/>
        <w:jc w:val="both"/>
        <w:rPr>
          <w:color w:val="000000" w:themeColor="text1"/>
          <w:sz w:val="22"/>
          <w:szCs w:val="22"/>
        </w:rPr>
      </w:pPr>
      <w:r>
        <w:rPr>
          <w:color w:val="000000" w:themeColor="text1"/>
          <w:sz w:val="22"/>
          <w:szCs w:val="22"/>
        </w:rPr>
        <w:t xml:space="preserve">Como na maioria das cidades históricas, Vigia de Nazaré apresenta uma grande concentração de bens de </w:t>
      </w:r>
      <w:r>
        <w:rPr>
          <w:color w:val="000000" w:themeColor="text1"/>
          <w:sz w:val="22"/>
          <w:szCs w:val="22"/>
        </w:rPr>
        <w:lastRenderedPageBreak/>
        <w:t>valor cultural em sua área central, sendo considerados como Patrimônio Histórico:</w:t>
      </w:r>
    </w:p>
    <w:p w:rsidR="00762C45" w:rsidRDefault="00303B66">
      <w:pPr>
        <w:pStyle w:val="PargrafodaLista"/>
        <w:numPr>
          <w:ilvl w:val="0"/>
          <w:numId w:val="19"/>
        </w:numPr>
        <w:tabs>
          <w:tab w:val="left" w:pos="142"/>
        </w:tabs>
        <w:suppressAutoHyphens w:val="0"/>
        <w:spacing w:line="240" w:lineRule="auto"/>
        <w:ind w:left="0" w:firstLine="0"/>
        <w:contextualSpacing/>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a Residência de Antônio Vasconcelos Nogueira</w:t>
      </w:r>
      <w:r>
        <w:rPr>
          <w:rFonts w:ascii="Times New Roman" w:hAnsi="Times New Roman" w:cs="Times New Roman"/>
          <w:color w:val="000000" w:themeColor="text1"/>
          <w:sz w:val="22"/>
          <w:szCs w:val="22"/>
        </w:rPr>
        <w:t xml:space="preserve">, edificada na década de 30 por Francisco Assis Monteiro, comerciante da indústria de pesca, a qual representa um exemplar de arquitetura eclética que teve suas formas originais mantidas pelo novo proprietário que a adquiriu em 1968, Antonio Vasconcelos Nogueira, membro colaborador da Banda Musical 31 de agosto, a mais antiga e tradicional da Vigia. </w:t>
      </w:r>
    </w:p>
    <w:p w:rsidR="00762C45" w:rsidRDefault="00303B66">
      <w:pPr>
        <w:pStyle w:val="PargrafodaLista"/>
        <w:numPr>
          <w:ilvl w:val="0"/>
          <w:numId w:val="19"/>
        </w:numPr>
        <w:tabs>
          <w:tab w:val="left" w:pos="142"/>
        </w:tabs>
        <w:suppressAutoHyphens w:val="0"/>
        <w:spacing w:line="240" w:lineRule="auto"/>
        <w:ind w:left="0" w:firstLine="0"/>
        <w:contextualSpacing/>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o </w:t>
      </w:r>
      <w:r>
        <w:rPr>
          <w:rFonts w:ascii="Times New Roman" w:hAnsi="Times New Roman" w:cs="Times New Roman"/>
          <w:b/>
          <w:color w:val="000000" w:themeColor="text1"/>
          <w:sz w:val="22"/>
          <w:szCs w:val="22"/>
        </w:rPr>
        <w:t>Mercado Municipal</w:t>
      </w:r>
      <w:r>
        <w:rPr>
          <w:rFonts w:ascii="Times New Roman" w:hAnsi="Times New Roman" w:cs="Times New Roman"/>
          <w:color w:val="000000" w:themeColor="text1"/>
          <w:sz w:val="22"/>
          <w:szCs w:val="22"/>
        </w:rPr>
        <w:t xml:space="preserve"> conhecido pela população vigiense como </w:t>
      </w:r>
      <w:r>
        <w:rPr>
          <w:rFonts w:ascii="Times New Roman" w:hAnsi="Times New Roman" w:cs="Times New Roman"/>
          <w:b/>
          <w:i/>
          <w:color w:val="000000" w:themeColor="text1"/>
          <w:sz w:val="22"/>
          <w:szCs w:val="22"/>
        </w:rPr>
        <w:t>Mercado de Peixe</w:t>
      </w:r>
      <w:r>
        <w:rPr>
          <w:rFonts w:ascii="Times New Roman" w:hAnsi="Times New Roman" w:cs="Times New Roman"/>
          <w:color w:val="000000" w:themeColor="text1"/>
          <w:sz w:val="22"/>
          <w:szCs w:val="22"/>
        </w:rPr>
        <w:t>, construído entre 1943 e 1945 e recuperado em 1998, é considerado um dos mais antigos e importantes centros pesqueiros do Pará.</w:t>
      </w:r>
    </w:p>
    <w:p w:rsidR="00762C45" w:rsidRDefault="00303B66">
      <w:pPr>
        <w:pStyle w:val="PargrafodaLista"/>
        <w:numPr>
          <w:ilvl w:val="0"/>
          <w:numId w:val="19"/>
        </w:numPr>
        <w:tabs>
          <w:tab w:val="left" w:pos="142"/>
        </w:tabs>
        <w:suppressAutoHyphens w:val="0"/>
        <w:spacing w:line="240" w:lineRule="auto"/>
        <w:ind w:left="0" w:firstLine="0"/>
        <w:contextualSpacing/>
      </w:pPr>
      <w:r>
        <w:rPr>
          <w:rFonts w:ascii="Times New Roman" w:hAnsi="Times New Roman" w:cs="Times New Roman"/>
          <w:color w:val="000000" w:themeColor="text1"/>
          <w:sz w:val="22"/>
          <w:szCs w:val="22"/>
        </w:rPr>
        <w:t xml:space="preserve">a </w:t>
      </w:r>
      <w:r>
        <w:rPr>
          <w:rFonts w:ascii="Times New Roman" w:hAnsi="Times New Roman" w:cs="Times New Roman"/>
          <w:b/>
          <w:color w:val="000000" w:themeColor="text1"/>
          <w:sz w:val="22"/>
          <w:szCs w:val="22"/>
        </w:rPr>
        <w:t>Igreja Madre de Deus</w:t>
      </w:r>
      <w:r>
        <w:rPr>
          <w:rFonts w:ascii="Times New Roman" w:hAnsi="Times New Roman" w:cs="Times New Roman"/>
          <w:color w:val="000000" w:themeColor="text1"/>
          <w:sz w:val="22"/>
          <w:szCs w:val="22"/>
        </w:rPr>
        <w:t xml:space="preserve"> tombada em 14 de dezembro de 1954 e considerada patrimônio da cultura nacional por sua importância histórica, imponência e riqueza de detalhes, representa um exemplar do estilo barroco jesuítico, denominação dada a todas as criações da arte religiosa dos séculos XVII e XVIII, no Brasil.  </w:t>
      </w:r>
    </w:p>
    <w:p w:rsidR="00762C45" w:rsidRDefault="00303B66">
      <w:pPr>
        <w:pStyle w:val="PargrafodaLista"/>
        <w:numPr>
          <w:ilvl w:val="0"/>
          <w:numId w:val="19"/>
        </w:numPr>
        <w:tabs>
          <w:tab w:val="left" w:pos="142"/>
        </w:tabs>
        <w:suppressAutoHyphens w:val="0"/>
        <w:spacing w:line="240" w:lineRule="auto"/>
        <w:ind w:left="0" w:firstLine="0"/>
        <w:contextualSpacing/>
      </w:pPr>
      <w:r>
        <w:rPr>
          <w:rFonts w:ascii="Times New Roman" w:hAnsi="Times New Roman" w:cs="Times New Roman"/>
          <w:color w:val="000000" w:themeColor="text1"/>
          <w:sz w:val="22"/>
          <w:szCs w:val="22"/>
        </w:rPr>
        <w:t xml:space="preserve">a </w:t>
      </w:r>
      <w:r>
        <w:rPr>
          <w:rFonts w:ascii="Times New Roman" w:hAnsi="Times New Roman" w:cs="Times New Roman"/>
          <w:b/>
          <w:color w:val="000000" w:themeColor="text1"/>
          <w:sz w:val="22"/>
          <w:szCs w:val="22"/>
        </w:rPr>
        <w:t>Capela do Senhor dos Passos</w:t>
      </w:r>
      <w:r>
        <w:rPr>
          <w:rFonts w:ascii="Times New Roman" w:hAnsi="Times New Roman" w:cs="Times New Roman"/>
          <w:color w:val="000000" w:themeColor="text1"/>
          <w:sz w:val="22"/>
          <w:szCs w:val="22"/>
        </w:rPr>
        <w:t xml:space="preserve"> mais conhecida como </w:t>
      </w:r>
      <w:r>
        <w:rPr>
          <w:rFonts w:ascii="Times New Roman" w:hAnsi="Times New Roman" w:cs="Times New Roman"/>
          <w:b/>
          <w:i/>
          <w:color w:val="000000" w:themeColor="text1"/>
          <w:sz w:val="22"/>
          <w:szCs w:val="22"/>
        </w:rPr>
        <w:t>Igreja de Pedra</w:t>
      </w:r>
      <w:r>
        <w:rPr>
          <w:rFonts w:ascii="Times New Roman" w:hAnsi="Times New Roman" w:cs="Times New Roman"/>
          <w:color w:val="000000" w:themeColor="text1"/>
          <w:sz w:val="22"/>
          <w:szCs w:val="22"/>
        </w:rPr>
        <w:t>, localizada no bairro do Arapiranga, que foi construída pelos jesuítas que utilizaram pedra com agregado de uma mistura de massa de argila crua e cal.</w:t>
      </w:r>
    </w:p>
    <w:p w:rsidR="00762C45" w:rsidRDefault="00303B66">
      <w:pPr>
        <w:pStyle w:val="PargrafodaLista"/>
        <w:numPr>
          <w:ilvl w:val="0"/>
          <w:numId w:val="19"/>
        </w:numPr>
        <w:tabs>
          <w:tab w:val="left" w:pos="142"/>
        </w:tabs>
        <w:suppressAutoHyphens w:val="0"/>
        <w:spacing w:line="240" w:lineRule="auto"/>
        <w:ind w:left="0" w:firstLine="0"/>
        <w:contextualSpacing/>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o </w:t>
      </w:r>
      <w:r>
        <w:rPr>
          <w:rFonts w:ascii="Times New Roman" w:hAnsi="Times New Roman" w:cs="Times New Roman"/>
          <w:b/>
          <w:color w:val="000000" w:themeColor="text1"/>
          <w:sz w:val="22"/>
          <w:szCs w:val="22"/>
        </w:rPr>
        <w:t>Trem de Guerra</w:t>
      </w:r>
      <w:r>
        <w:rPr>
          <w:rFonts w:ascii="Times New Roman" w:hAnsi="Times New Roman" w:cs="Times New Roman"/>
          <w:color w:val="000000" w:themeColor="text1"/>
          <w:sz w:val="22"/>
          <w:szCs w:val="22"/>
        </w:rPr>
        <w:t xml:space="preserve">  moradia e local de trabalho do Juiz de Paz do município da Vigia, João de Souza Ataíde, foi utilizado pelas autoridades do Legislativo e militares vigienses para fugir dos cabanos que tentavam tomar o poder, em 1835. O prédio foi totalmente demolido e reconstruído na década de 90 mantendo, parcialmente, as suas características arquitetônicas originais. </w:t>
      </w:r>
    </w:p>
    <w:p w:rsidR="00762C45" w:rsidRDefault="00303B66">
      <w:pPr>
        <w:tabs>
          <w:tab w:val="left" w:pos="142"/>
        </w:tabs>
        <w:ind w:firstLine="567"/>
        <w:jc w:val="both"/>
        <w:rPr>
          <w:color w:val="000000" w:themeColor="text1"/>
          <w:sz w:val="22"/>
          <w:szCs w:val="22"/>
        </w:rPr>
      </w:pPr>
      <w:r>
        <w:rPr>
          <w:smallCaps/>
          <w:color w:val="231F20"/>
          <w:sz w:val="22"/>
          <w:szCs w:val="22"/>
        </w:rPr>
        <w:t>E</w:t>
      </w:r>
      <w:r>
        <w:rPr>
          <w:color w:val="000000" w:themeColor="text1"/>
          <w:sz w:val="22"/>
          <w:szCs w:val="22"/>
        </w:rPr>
        <w:t>m função da grande influência religiosa, entre os séculos XVII e XVIII, Vigia apresenta sua atividade cultural fundamentada na música. Atualmente, existem 3 (três) bandas musicais em pleno funcionamento, denominadas 31 de Agosto, União Vigiense e 25 de Dezembro fundadas, respectivamente, em 1876, 1916 e 1925, as quais desenvolvem um trabalho de inclusão social, através da formação de jovens da periferia das comunidades locais que vivem em situação de risco.</w:t>
      </w:r>
    </w:p>
    <w:p w:rsidR="00762C45" w:rsidRDefault="00303B66">
      <w:pPr>
        <w:ind w:firstLine="567"/>
        <w:jc w:val="both"/>
        <w:rPr>
          <w:sz w:val="22"/>
          <w:szCs w:val="22"/>
        </w:rPr>
      </w:pPr>
      <w:r>
        <w:rPr>
          <w:sz w:val="22"/>
          <w:szCs w:val="22"/>
        </w:rPr>
        <w:t xml:space="preserve">A cultura popular da Vigia é bastante diversificada, representada por diferentes grupos folclóricos regionais como os de carimbó, boi-bumbá, cordões de pássaros, folia de reis, além de lendas, mitos e crendices próprias do local e, mais recentemente, o Carnaval. </w:t>
      </w:r>
    </w:p>
    <w:p w:rsidR="00762C45" w:rsidRDefault="00303B66">
      <w:pPr>
        <w:pStyle w:val="PargrafodaLista"/>
        <w:tabs>
          <w:tab w:val="left" w:pos="142"/>
        </w:tabs>
        <w:spacing w:line="240" w:lineRule="auto"/>
        <w:ind w:left="0" w:firstLine="567"/>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O Carnaval da Vigia que iniciou no final do século XIX e mantém até hoje a sua tradição, se caracteriza por apresentar enredos e blocos próprios como o das “Virgienses”, no qual homens se vestem de mulheres, o dos “Cabrasurdos”, em que mulheres se vestem de homens e o da “Gaiola das Loucas”, composto somente por “dragqueens”, os quais apresentam um verdadeiro show à parte. </w:t>
      </w:r>
    </w:p>
    <w:p w:rsidR="00762C45" w:rsidRDefault="00303B66">
      <w:pPr>
        <w:pStyle w:val="PargrafodaLista"/>
        <w:tabs>
          <w:tab w:val="left" w:pos="142"/>
        </w:tabs>
        <w:spacing w:line="240" w:lineRule="auto"/>
        <w:ind w:left="0" w:firstLine="567"/>
        <w:rPr>
          <w:rFonts w:ascii="Times New Roman" w:hAnsi="Times New Roman" w:cs="Times New Roman"/>
          <w:b/>
          <w:i/>
          <w:sz w:val="8"/>
          <w:szCs w:val="8"/>
        </w:rPr>
      </w:pPr>
      <w:r>
        <w:rPr>
          <w:rFonts w:ascii="Times New Roman" w:hAnsi="Times New Roman" w:cs="Times New Roman"/>
          <w:color w:val="000000" w:themeColor="text1"/>
          <w:sz w:val="22"/>
          <w:szCs w:val="22"/>
        </w:rPr>
        <w:t>Em 2007, o Carnaval da Vigia se consagrou como a maior festa do Estado do Pará e a 3ª do Brasil, reunindo mais de 250.000 foliões. Há algum tempo, no entanto, vem dando espaço para blocos maiores, incluindo 4 (quatro) escolas de samba agregando ao carnaval de rua, trios elétricos e bandas famosas da região Norte.</w:t>
      </w:r>
      <w:r>
        <w:rPr>
          <w:rFonts w:ascii="Times New Roman" w:hAnsi="Times New Roman" w:cs="Times New Roman"/>
          <w:b/>
          <w:i/>
          <w:sz w:val="8"/>
          <w:szCs w:val="8"/>
        </w:rPr>
        <w:t xml:space="preserve">                             </w:t>
      </w:r>
    </w:p>
    <w:p w:rsidR="00762C45" w:rsidRDefault="00303B66">
      <w:pPr>
        <w:ind w:firstLine="567"/>
        <w:jc w:val="both"/>
        <w:rPr>
          <w:color w:val="000000" w:themeColor="text1"/>
          <w:sz w:val="22"/>
          <w:szCs w:val="22"/>
        </w:rPr>
      </w:pPr>
      <w:r>
        <w:rPr>
          <w:sz w:val="22"/>
          <w:szCs w:val="22"/>
        </w:rPr>
        <w:t>Seguindo a cultura paraense e sua forte religiosidade, Vigia tem na manifestação do Círio de Nossa Senhora de Nazaré, sua mais importante festa regional, que</w:t>
      </w:r>
      <w:r>
        <w:rPr>
          <w:color w:val="000000" w:themeColor="text1"/>
          <w:sz w:val="22"/>
          <w:szCs w:val="22"/>
        </w:rPr>
        <w:t xml:space="preserve"> acontece todo 2º domingo do mês de setembro e representa o mais antigo culto paraense à Virgem de Nazaré, reunindo uma multidão de fiéis vigienses e peregrinos de vários lugares do estado e do país. </w:t>
      </w:r>
    </w:p>
    <w:p w:rsidR="00762C45" w:rsidRDefault="00303B66">
      <w:pPr>
        <w:ind w:firstLine="567"/>
        <w:jc w:val="both"/>
        <w:rPr>
          <w:sz w:val="22"/>
          <w:szCs w:val="22"/>
        </w:rPr>
      </w:pPr>
      <w:r>
        <w:rPr>
          <w:color w:val="000000" w:themeColor="text1"/>
          <w:sz w:val="22"/>
          <w:szCs w:val="22"/>
        </w:rPr>
        <w:t>O Círio da Vigia teve sua origem no século XVIII, por volta de 1616, quando o fidalgo lusitano, D. Jorge Gomes D’Alamos, teria trazido uma cópia da imagem portuguesa para o município. Com o passar do tempo, a imagem se deteriorou, supondo-se que as pessoas que a levaram para restauração sofreram um ataque de indígenas e a imagem foi perdida. Acredita-se que por volta de 1700, o caboclo Plácido a teria encontrado e iniciado, em Belém a sua devoção, copiando o estilo do mais antigo Círio, o da Vigia.</w:t>
      </w:r>
    </w:p>
    <w:p w:rsidR="00762C45" w:rsidRDefault="00303B66">
      <w:pPr>
        <w:pStyle w:val="PargrafodaLista"/>
        <w:tabs>
          <w:tab w:val="left" w:pos="142"/>
        </w:tabs>
        <w:spacing w:line="240" w:lineRule="auto"/>
        <w:ind w:left="0" w:firstLine="567"/>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O Barão de Guajará, Domingos Antonio Raiol, descendente de portugueses é considerado como um ícone dos ilustres vigienses que, ao longo dos séculos, construíram currículos de educadores, jornalistas, escritores, músicos e políticos. Presidiu, entre outras províncias, além do Grão-Pará, as de Pernambuco e São Paulo. Seu pai foi morto pelos cabanos durante o ataque à Vigia. </w:t>
      </w:r>
    </w:p>
    <w:p w:rsidR="00762C45" w:rsidRDefault="00303B66">
      <w:pPr>
        <w:pStyle w:val="PargrafodaLista"/>
        <w:tabs>
          <w:tab w:val="left" w:pos="142"/>
        </w:tabs>
        <w:spacing w:line="240" w:lineRule="auto"/>
        <w:ind w:left="0" w:firstLine="567"/>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 cidade da Vigia tem na sua história, uma sociedade literária, considerada o celeiro de intelectuais dos séculos XIX e XX, que produziu o jornalismo de qualidade e reuniu um acervo bibliográfico que era uma preciosidade até desaparecer, há cerca de 10 anos o que, embora represente uma mancha na atualidade, serve de estímulo para as novas gerações que têm, por exemplo, no poeta José Ildone, que foi professor no colégio local, autor de mais de uma dezena de livros e membro da Academia Paraense de Letras, seu atual e expressivo representante.</w:t>
      </w:r>
    </w:p>
    <w:p w:rsidR="00762C45" w:rsidRDefault="00303B66">
      <w:pPr>
        <w:ind w:firstLine="567"/>
        <w:jc w:val="both"/>
        <w:rPr>
          <w:sz w:val="22"/>
          <w:szCs w:val="22"/>
        </w:rPr>
      </w:pPr>
      <w:r>
        <w:rPr>
          <w:sz w:val="22"/>
          <w:szCs w:val="22"/>
        </w:rPr>
        <w:t xml:space="preserve">Considerando a riqueza desse patrimônio e das manifestações culturais o </w:t>
      </w:r>
      <w:r>
        <w:rPr>
          <w:i/>
          <w:sz w:val="22"/>
          <w:szCs w:val="22"/>
        </w:rPr>
        <w:t>Campus</w:t>
      </w:r>
      <w:r>
        <w:rPr>
          <w:sz w:val="22"/>
          <w:szCs w:val="22"/>
        </w:rPr>
        <w:t xml:space="preserve"> Avançado Vigia através </w:t>
      </w:r>
      <w:r>
        <w:rPr>
          <w:sz w:val="22"/>
          <w:szCs w:val="22"/>
        </w:rPr>
        <w:lastRenderedPageBreak/>
        <w:t xml:space="preserve">da Coordenação do curso técnico subsequente em Eventos e com a participação de professores e alunos vem desenvolvendo ações acadêmicas procurando dar maior visibilidade a essas questões a fim de manter viva essas tradições, perpetuando-as na memória do seu povo e dos turistas que visitam Vigia. Nesse sentido são elaborados folders para divulgar esses patrimônios. </w:t>
      </w:r>
    </w:p>
    <w:p w:rsidR="00762C45" w:rsidRDefault="00303B66">
      <w:pPr>
        <w:ind w:firstLine="567"/>
        <w:jc w:val="both"/>
        <w:rPr>
          <w:sz w:val="22"/>
          <w:szCs w:val="22"/>
        </w:rPr>
      </w:pPr>
      <w:r>
        <w:rPr>
          <w:sz w:val="22"/>
          <w:szCs w:val="22"/>
        </w:rPr>
        <w:t>Os alunos funcionam como guias turísticos acompanhando as excursões que chegam ao município e também realizando palestras abordando, por exemplo, temas relacionados com a preservação ambiental de manguezais, etc. Realização da I Feira Cultural ocorrida em frente a Igreja de Pedra, um dos pontos turísticos mais visitados do Estado. O objetivo principal do evento consistiu na exposição da cultura local expressas através da música, gastronomia, dança e arte. A programação incluiu apresentação de artistas locais, grupo de dança, exposição de pinturas, esculturas, fotografias e painéis informativos, degustação da culinária local e espaço recreativo para as crianças.</w:t>
      </w:r>
    </w:p>
    <w:p w:rsidR="00762C45" w:rsidRDefault="00762C45">
      <w:pPr>
        <w:ind w:firstLine="567"/>
        <w:jc w:val="both"/>
        <w:rPr>
          <w:color w:val="FF420E"/>
          <w:sz w:val="22"/>
          <w:szCs w:val="22"/>
        </w:rPr>
      </w:pPr>
    </w:p>
    <w:p w:rsidR="00762C45" w:rsidRDefault="00303B66">
      <w:pPr>
        <w:pStyle w:val="Estilo20"/>
      </w:pPr>
      <w:bookmarkStart w:id="46" w:name="_Toc474391185"/>
      <w:r>
        <w:t>3.8 Políticas Institucionais e Ações de Estímulo Relacionadas à Difusão das Produções Acadêmicas: Científica, Didático-Pedagógica, Tecnológica, Artística e Cultural</w:t>
      </w:r>
      <w:bookmarkEnd w:id="46"/>
      <w:r>
        <w:t xml:space="preserve"> </w:t>
      </w:r>
    </w:p>
    <w:p w:rsidR="00762C45" w:rsidRDefault="00762C45">
      <w:pPr>
        <w:jc w:val="both"/>
        <w:rPr>
          <w:color w:val="FF420E"/>
          <w:sz w:val="22"/>
          <w:szCs w:val="22"/>
        </w:rPr>
      </w:pPr>
    </w:p>
    <w:p w:rsidR="00762C45" w:rsidRDefault="00303B66">
      <w:pPr>
        <w:ind w:firstLine="567"/>
        <w:jc w:val="both"/>
        <w:rPr>
          <w:sz w:val="22"/>
          <w:szCs w:val="22"/>
        </w:rPr>
      </w:pPr>
      <w:r>
        <w:rPr>
          <w:sz w:val="22"/>
          <w:szCs w:val="22"/>
        </w:rPr>
        <w:t xml:space="preserve">Dentro dos seus limites orçamentários o </w:t>
      </w:r>
      <w:r>
        <w:rPr>
          <w:i/>
          <w:sz w:val="22"/>
          <w:szCs w:val="22"/>
        </w:rPr>
        <w:t>Campus</w:t>
      </w:r>
      <w:r>
        <w:rPr>
          <w:sz w:val="22"/>
          <w:szCs w:val="22"/>
        </w:rPr>
        <w:t xml:space="preserve"> Avançado Vigia tem procurado incentivar a sua comunidade acadêmica para divulgar a sua produção científica, artística e cultural através da participação em congressos, seminários, feiras, fóruns, reuniões, etc, com a concessão de diárias e passagens, pagamento de inscrições nos eventos e outras despesas que se fizerem necessárias para alcançar os objetivos estabelecidos. </w:t>
      </w:r>
    </w:p>
    <w:p w:rsidR="00762C45" w:rsidRDefault="00303B66">
      <w:pPr>
        <w:ind w:firstLine="567"/>
        <w:jc w:val="both"/>
        <w:rPr>
          <w:sz w:val="22"/>
          <w:szCs w:val="22"/>
        </w:rPr>
      </w:pPr>
      <w:r>
        <w:rPr>
          <w:sz w:val="22"/>
          <w:szCs w:val="22"/>
        </w:rPr>
        <w:t>Além disso, estimula essa comunidade para promover atividades que possam chamar a sociedade para conhecer de perto as realizações do CAV e, com isto, promover uma divulgação das atividades executadas pelo campus na expectativa de ser reconhecida como instituição pública federal de qualidade para a formação de profissionais, contribuindo para apoiar o desenvolvimento local.</w:t>
      </w:r>
    </w:p>
    <w:p w:rsidR="00762C45" w:rsidRDefault="00762C45">
      <w:pPr>
        <w:pStyle w:val="Estilo20"/>
      </w:pPr>
    </w:p>
    <w:p w:rsidR="00762C45" w:rsidRDefault="00303B66">
      <w:pPr>
        <w:pStyle w:val="Estilo20"/>
      </w:pPr>
      <w:bookmarkStart w:id="47" w:name="_Toc474391186"/>
      <w:r>
        <w:t>3.9 Comunicação da IES com a Comunidade interna</w:t>
      </w:r>
      <w:bookmarkEnd w:id="47"/>
      <w:r>
        <w:t xml:space="preserve"> </w:t>
      </w:r>
    </w:p>
    <w:p w:rsidR="00762C45" w:rsidRDefault="00303B66">
      <w:pPr>
        <w:pStyle w:val="NormalWeb"/>
        <w:ind w:firstLine="567"/>
        <w:jc w:val="both"/>
      </w:pPr>
      <w:r>
        <w:rPr>
          <w:sz w:val="22"/>
          <w:szCs w:val="22"/>
        </w:rPr>
        <w:t xml:space="preserve">A comunicação interna se dá por meio de sua estrutura organizacional. Os canais de comunicação, já implantados, foram desenvolvidos através de: comunicação interna por mídia informatizada, site do CAV, Portarias, Resoluções, Instruções Normativas, comunicação diretamente com as chefias e coordenações, folhetos internos, murais, dentre outros. </w:t>
      </w:r>
    </w:p>
    <w:p w:rsidR="00762C45" w:rsidRDefault="00303B66">
      <w:pPr>
        <w:pStyle w:val="NormalWeb"/>
        <w:ind w:firstLine="567"/>
        <w:jc w:val="both"/>
      </w:pPr>
      <w:r>
        <w:rPr>
          <w:sz w:val="22"/>
          <w:szCs w:val="22"/>
        </w:rPr>
        <w:t xml:space="preserve">No que se referir a resultados de avaliações pesquisas, oferta de cursos de qualquer modalidade adotada pelo CAV, estes estão amplamente divulgados no site e nos murais. Outras ações e comunicação com a sociedade se originam no próprio relacionamento com os alunos, diretamente, uma vez que são todos da comunidade, estando cotidianamente em contato estreito com o CAV. </w:t>
      </w:r>
    </w:p>
    <w:p w:rsidR="00762C45" w:rsidRDefault="00303B66">
      <w:pPr>
        <w:pStyle w:val="Estilo20"/>
      </w:pPr>
      <w:bookmarkStart w:id="48" w:name="_Toc474391187"/>
      <w:r>
        <w:t>3.10 Comunicação da IES com a Comunidade externa</w:t>
      </w:r>
      <w:bookmarkEnd w:id="48"/>
      <w:r>
        <w:t xml:space="preserve"> </w:t>
      </w:r>
    </w:p>
    <w:p w:rsidR="00762C45" w:rsidRDefault="00303B66">
      <w:pPr>
        <w:pStyle w:val="NormalWeb"/>
        <w:ind w:firstLine="567"/>
        <w:jc w:val="both"/>
      </w:pPr>
      <w:r>
        <w:rPr>
          <w:sz w:val="22"/>
          <w:szCs w:val="22"/>
        </w:rPr>
        <w:t xml:space="preserve">As relações do CAV com os setores da comunidade externa, entendida como sociedade, se originam a partir de suas políticas de ensino, tanto técnico como de extensão, pois geram diretrizes adequadas para se estabelecer uma relação com os setores da sociedade. </w:t>
      </w:r>
    </w:p>
    <w:p w:rsidR="00762C45" w:rsidRDefault="00303B66">
      <w:pPr>
        <w:pStyle w:val="NormalWeb"/>
        <w:ind w:firstLine="567"/>
        <w:jc w:val="both"/>
        <w:rPr>
          <w:sz w:val="22"/>
          <w:szCs w:val="22"/>
        </w:rPr>
      </w:pPr>
      <w:r>
        <w:rPr>
          <w:sz w:val="22"/>
          <w:szCs w:val="22"/>
        </w:rPr>
        <w:t xml:space="preserve">Para tanto se relaciona com o setor público e com o setor privado, para dar conta de seus estágios curriculares obrigatórios, realização de atividades complementares, oferta de cursos e atividades de extensão. Da mesma forma as políticas de pesquisa podem interagir com a sociedade a medida em que se realizam investigações que venham ao encontro de suas necessidades operacionais ou estratégicas. </w:t>
      </w:r>
    </w:p>
    <w:p w:rsidR="00762C45" w:rsidRDefault="00303B66">
      <w:pPr>
        <w:pStyle w:val="NormalWeb"/>
        <w:ind w:firstLine="567"/>
        <w:jc w:val="both"/>
        <w:rPr>
          <w:sz w:val="22"/>
          <w:szCs w:val="22"/>
        </w:rPr>
      </w:pPr>
      <w:r>
        <w:rPr>
          <w:sz w:val="22"/>
          <w:szCs w:val="22"/>
        </w:rPr>
        <w:t xml:space="preserve">Sem dúvida as ações do </w:t>
      </w:r>
      <w:r>
        <w:rPr>
          <w:i/>
          <w:sz w:val="22"/>
          <w:szCs w:val="22"/>
        </w:rPr>
        <w:t>campus</w:t>
      </w:r>
      <w:r>
        <w:rPr>
          <w:sz w:val="22"/>
          <w:szCs w:val="22"/>
        </w:rPr>
        <w:t xml:space="preserve">, principalmente interiorizada, agrega valor ao desenvolvimento econômico e educacional na sua área de atuação. O principal canal de comunicação é o seu site. </w:t>
      </w:r>
    </w:p>
    <w:p w:rsidR="00762C45" w:rsidRDefault="00303B66">
      <w:pPr>
        <w:pStyle w:val="NormalWeb"/>
        <w:ind w:firstLine="567"/>
        <w:jc w:val="both"/>
        <w:rPr>
          <w:sz w:val="22"/>
          <w:szCs w:val="22"/>
        </w:rPr>
      </w:pPr>
      <w:r>
        <w:rPr>
          <w:sz w:val="22"/>
          <w:szCs w:val="22"/>
        </w:rPr>
        <w:lastRenderedPageBreak/>
        <w:t xml:space="preserve">O </w:t>
      </w:r>
      <w:r>
        <w:rPr>
          <w:i/>
          <w:sz w:val="22"/>
          <w:szCs w:val="22"/>
        </w:rPr>
        <w:t>Campus</w:t>
      </w:r>
      <w:r>
        <w:rPr>
          <w:sz w:val="22"/>
          <w:szCs w:val="22"/>
        </w:rPr>
        <w:t xml:space="preserve"> Avançado Vigia mantém parcerias com a comunidade, instituições e empresas para a consecução de seus fins educacionais. Relativo às empresas a relação de parceria também se dá com todas as que tiverem interesse em de alguma forma estar associada a este </w:t>
      </w:r>
      <w:r>
        <w:rPr>
          <w:i/>
          <w:sz w:val="22"/>
          <w:szCs w:val="22"/>
        </w:rPr>
        <w:t>campus</w:t>
      </w:r>
      <w:r>
        <w:rPr>
          <w:sz w:val="22"/>
          <w:szCs w:val="22"/>
        </w:rPr>
        <w:t xml:space="preserve">. Nestes casos as ações são de parceria, por meio de convênios acadêmicos com fulcro no desenvolvimento educacional, social e cultural. </w:t>
      </w:r>
    </w:p>
    <w:p w:rsidR="00762C45" w:rsidRDefault="00303B66">
      <w:pPr>
        <w:pStyle w:val="NormalWeb"/>
        <w:ind w:firstLine="567"/>
        <w:jc w:val="both"/>
      </w:pPr>
      <w:r>
        <w:rPr>
          <w:sz w:val="22"/>
          <w:szCs w:val="22"/>
        </w:rPr>
        <w:t xml:space="preserve">Para que esta comunicação ocorra, o CAV disponibiliza os resultados de suas avaliações em seu site, bem como a divulgação de seus cursos técnicos, pós-graduação e extensão, seus projetos e resultados de pesquisa, demais informações acadêmicas e institucionais. Além disto, possibilita à comunidade externa a interação com o campus através do atendimento presencial por meio de sua recepção. </w:t>
      </w:r>
    </w:p>
    <w:p w:rsidR="00762C45" w:rsidRDefault="00303B66">
      <w:pPr>
        <w:pStyle w:val="Estilo20"/>
      </w:pPr>
      <w:bookmarkStart w:id="49" w:name="_Toc474391188"/>
      <w:r>
        <w:t>3.11 Programas de Atendimento aos Estudantes</w:t>
      </w:r>
      <w:bookmarkEnd w:id="49"/>
      <w:r>
        <w:t xml:space="preserve"> </w:t>
      </w:r>
    </w:p>
    <w:p w:rsidR="00762C45" w:rsidRDefault="00762C45">
      <w:pPr>
        <w:ind w:hanging="720"/>
        <w:jc w:val="both"/>
        <w:rPr>
          <w:sz w:val="22"/>
          <w:szCs w:val="22"/>
        </w:rPr>
      </w:pPr>
    </w:p>
    <w:p w:rsidR="00762C45" w:rsidRDefault="00303B66">
      <w:pPr>
        <w:pStyle w:val="Estilo3"/>
      </w:pPr>
      <w:bookmarkStart w:id="50" w:name="_Toc474391189"/>
      <w:bookmarkEnd w:id="50"/>
      <w:r>
        <w:t>3.11.1</w:t>
      </w:r>
      <w:r>
        <w:tab/>
        <w:t>Apoio psicopedagógico</w:t>
      </w:r>
    </w:p>
    <w:p w:rsidR="00762C45" w:rsidRDefault="00762C45">
      <w:pPr>
        <w:ind w:hanging="720"/>
        <w:jc w:val="both"/>
        <w:rPr>
          <w:rStyle w:val="nfase"/>
          <w:i w:val="0"/>
        </w:rPr>
      </w:pPr>
    </w:p>
    <w:p w:rsidR="00762C45" w:rsidRDefault="00303B66">
      <w:pPr>
        <w:ind w:firstLine="567"/>
        <w:jc w:val="both"/>
        <w:rPr>
          <w:sz w:val="22"/>
          <w:szCs w:val="22"/>
        </w:rPr>
      </w:pPr>
      <w:r>
        <w:rPr>
          <w:sz w:val="22"/>
          <w:szCs w:val="22"/>
        </w:rPr>
        <w:t>A psicopedagogia é um campo de atuação que trabalha com o processo de aprendizagem humana, ou seja, o aprender e o ensinar. Assim, considera a influência que o meio (família, escola e sociedade) exerce sobre o indivíduo e, ainda, coloca como seu foco principal o autoconhecimento e auto aperfeiçoamento.</w:t>
      </w:r>
    </w:p>
    <w:p w:rsidR="00762C45" w:rsidRDefault="00303B66">
      <w:pPr>
        <w:ind w:firstLine="567"/>
        <w:jc w:val="both"/>
        <w:rPr>
          <w:sz w:val="22"/>
          <w:szCs w:val="22"/>
        </w:rPr>
      </w:pPr>
      <w:r>
        <w:rPr>
          <w:sz w:val="22"/>
          <w:szCs w:val="22"/>
        </w:rPr>
        <w:t xml:space="preserve">O Programa de Apoio Psicopedagógico do </w:t>
      </w:r>
      <w:r>
        <w:rPr>
          <w:i/>
          <w:sz w:val="22"/>
          <w:szCs w:val="22"/>
        </w:rPr>
        <w:t>Campus</w:t>
      </w:r>
      <w:r>
        <w:rPr>
          <w:sz w:val="22"/>
          <w:szCs w:val="22"/>
        </w:rPr>
        <w:t xml:space="preserve"> Avançado Vigia tem por propósito mediar processos de orientação e acompanhamento aos alunos que se encontram em dificuldades emocionais, relacionais, vocacionais, motoras, visuais, auditivas e outras que se caracterizem como necessidades educacionais de aprendizagem.</w:t>
      </w:r>
    </w:p>
    <w:p w:rsidR="00762C45" w:rsidRDefault="00303B66">
      <w:pPr>
        <w:ind w:firstLine="567"/>
        <w:jc w:val="both"/>
        <w:rPr>
          <w:sz w:val="22"/>
          <w:szCs w:val="22"/>
        </w:rPr>
      </w:pPr>
      <w:r>
        <w:rPr>
          <w:sz w:val="22"/>
          <w:szCs w:val="22"/>
        </w:rPr>
        <w:t>É uma experiência nova no seio deste campus que pretende desenvolver ações que compreendem as seguintes dimensões:</w:t>
      </w:r>
    </w:p>
    <w:p w:rsidR="00762C45" w:rsidRDefault="00303B66">
      <w:pPr>
        <w:pStyle w:val="PargrafodaLista"/>
        <w:numPr>
          <w:ilvl w:val="0"/>
          <w:numId w:val="7"/>
        </w:numPr>
        <w:tabs>
          <w:tab w:val="left" w:pos="284"/>
        </w:tabs>
        <w:spacing w:line="240" w:lineRule="auto"/>
        <w:ind w:left="0" w:hanging="11"/>
        <w:rPr>
          <w:rFonts w:ascii="Times New Roman" w:hAnsi="Times New Roman" w:cs="Times New Roman"/>
          <w:color w:val="00000A"/>
          <w:sz w:val="22"/>
          <w:szCs w:val="22"/>
        </w:rPr>
      </w:pPr>
      <w:r>
        <w:rPr>
          <w:rFonts w:ascii="Times New Roman" w:hAnsi="Times New Roman" w:cs="Times New Roman"/>
          <w:color w:val="00000A"/>
          <w:sz w:val="22"/>
          <w:szCs w:val="22"/>
        </w:rPr>
        <w:t>a criação de uma cultura de inclusão fundamentada no princípio da diversidade, fomentando o respeito e o convívio com as diferenças individuais;</w:t>
      </w:r>
    </w:p>
    <w:p w:rsidR="00762C45" w:rsidRDefault="00303B66">
      <w:pPr>
        <w:pStyle w:val="PargrafodaLista"/>
        <w:numPr>
          <w:ilvl w:val="0"/>
          <w:numId w:val="7"/>
        </w:numPr>
        <w:tabs>
          <w:tab w:val="left" w:pos="284"/>
        </w:tabs>
        <w:spacing w:line="240" w:lineRule="auto"/>
        <w:ind w:left="0" w:hanging="11"/>
        <w:rPr>
          <w:rFonts w:ascii="Times New Roman" w:hAnsi="Times New Roman" w:cs="Times New Roman"/>
          <w:color w:val="00000A"/>
          <w:sz w:val="22"/>
          <w:szCs w:val="22"/>
        </w:rPr>
      </w:pPr>
      <w:r>
        <w:rPr>
          <w:rFonts w:ascii="Times New Roman" w:hAnsi="Times New Roman" w:cs="Times New Roman"/>
          <w:color w:val="00000A"/>
          <w:sz w:val="22"/>
          <w:szCs w:val="22"/>
        </w:rPr>
        <w:t>o apoio psicopedagógico vinculado aos recursos e às estratégias voltados para o acompanhamento do percurso acadêmico do aluno e melhoria da qualidade do ensino.</w:t>
      </w:r>
    </w:p>
    <w:p w:rsidR="00762C45" w:rsidRDefault="00303B66">
      <w:pPr>
        <w:pStyle w:val="PargrafodaLista"/>
        <w:tabs>
          <w:tab w:val="left" w:pos="284"/>
        </w:tabs>
        <w:spacing w:line="240" w:lineRule="auto"/>
        <w:ind w:left="0" w:firstLine="567"/>
        <w:rPr>
          <w:rFonts w:ascii="Times New Roman" w:hAnsi="Times New Roman" w:cs="Times New Roman"/>
          <w:color w:val="00000A"/>
          <w:sz w:val="22"/>
          <w:szCs w:val="22"/>
        </w:rPr>
      </w:pPr>
      <w:r>
        <w:rPr>
          <w:rFonts w:ascii="Times New Roman" w:hAnsi="Times New Roman" w:cs="Times New Roman"/>
          <w:color w:val="00000A"/>
          <w:sz w:val="22"/>
          <w:szCs w:val="22"/>
        </w:rPr>
        <w:t>Para atender a essas expectativas pretender implantar o Setor de Apoio Psicopedagógico no decorrer da vigência deste PDC com a contratação de pedagogo, psicólogo e assistente social que atuarão junto a equipe de gestores, docentes e discentes, administrando conflitos e ansiedades relacionados ao processo de ensino e aprendizagem, convivência no ambiente acadêmico, relacionamento com o grupo e, ainda, avaliação crítica e autocrítica. A ação psicopedagógica dará o suporte necessário e motivador para que o aluno venha a desenvolver suas habilidades específicas, potencializando sua autoestima e, assim, alcançando o almejado sucesso em sua vida pessoal e profissional.</w:t>
      </w:r>
    </w:p>
    <w:p w:rsidR="00762C45" w:rsidRDefault="00762C45">
      <w:pPr>
        <w:pStyle w:val="PargrafodaLista"/>
        <w:tabs>
          <w:tab w:val="left" w:pos="284"/>
        </w:tabs>
        <w:spacing w:line="240" w:lineRule="auto"/>
        <w:ind w:left="0" w:firstLine="0"/>
        <w:rPr>
          <w:rFonts w:ascii="Times New Roman" w:hAnsi="Times New Roman" w:cs="Times New Roman"/>
          <w:sz w:val="22"/>
          <w:szCs w:val="22"/>
        </w:rPr>
      </w:pPr>
    </w:p>
    <w:p w:rsidR="00762C45" w:rsidRDefault="00303B66">
      <w:pPr>
        <w:pStyle w:val="Estilo3"/>
      </w:pPr>
      <w:bookmarkStart w:id="51" w:name="_Toc474391190"/>
      <w:bookmarkEnd w:id="51"/>
      <w:r>
        <w:t>3.11.2</w:t>
      </w:r>
      <w:r>
        <w:tab/>
        <w:t>Programas de acolhimento ao ingressante</w:t>
      </w:r>
    </w:p>
    <w:p w:rsidR="00762C45" w:rsidRDefault="00762C45">
      <w:pPr>
        <w:ind w:hanging="720"/>
        <w:jc w:val="both"/>
        <w:rPr>
          <w:sz w:val="22"/>
          <w:szCs w:val="22"/>
        </w:rPr>
      </w:pPr>
    </w:p>
    <w:p w:rsidR="00762C45" w:rsidRDefault="00303B66">
      <w:pPr>
        <w:ind w:firstLine="567"/>
        <w:jc w:val="both"/>
        <w:rPr>
          <w:sz w:val="22"/>
          <w:szCs w:val="22"/>
        </w:rPr>
      </w:pPr>
      <w:r>
        <w:rPr>
          <w:color w:val="000000"/>
          <w:sz w:val="22"/>
          <w:szCs w:val="22"/>
        </w:rPr>
        <w:t xml:space="preserve">O </w:t>
      </w:r>
      <w:r>
        <w:rPr>
          <w:i/>
          <w:iCs/>
          <w:color w:val="000000"/>
          <w:sz w:val="22"/>
          <w:szCs w:val="22"/>
        </w:rPr>
        <w:t xml:space="preserve">Campus </w:t>
      </w:r>
      <w:r>
        <w:rPr>
          <w:color w:val="000000"/>
          <w:sz w:val="22"/>
          <w:szCs w:val="22"/>
        </w:rPr>
        <w:t>Avançado Vigia</w:t>
      </w:r>
      <w:r>
        <w:rPr>
          <w:i/>
          <w:iCs/>
          <w:color w:val="000000"/>
          <w:sz w:val="22"/>
          <w:szCs w:val="22"/>
        </w:rPr>
        <w:t xml:space="preserve"> </w:t>
      </w:r>
      <w:r>
        <w:rPr>
          <w:color w:val="000000"/>
          <w:sz w:val="22"/>
          <w:szCs w:val="22"/>
        </w:rPr>
        <w:t>desenvolve uma programação de acolhimento aos ingressantes dos cursos, com o objetivo do aluno receber informações sobre a sua missão, visão, valores institucionais, estrutura organizacional, cursos ofertados, ações prioritárias, funcionamento da Diretoria de Ensino, Coordenações dos cursos, Coordenação de Pesquisa e Extensão, Assistência estudantil, Biblioteca, além da distribuição de um kit escolar e uniformes.</w:t>
      </w:r>
    </w:p>
    <w:p w:rsidR="00762C45" w:rsidRDefault="00762C45">
      <w:pPr>
        <w:ind w:firstLine="567"/>
        <w:jc w:val="both"/>
        <w:rPr>
          <w:sz w:val="22"/>
          <w:szCs w:val="22"/>
        </w:rPr>
      </w:pPr>
    </w:p>
    <w:p w:rsidR="00762C45" w:rsidRDefault="00303B66">
      <w:pPr>
        <w:pStyle w:val="Estilo3"/>
      </w:pPr>
      <w:bookmarkStart w:id="52" w:name="_Toc474391191"/>
      <w:r>
        <w:t>3.11.3 Programas de acessibilidade ou equivalente, nivelamento e/ou monitoria</w:t>
      </w:r>
      <w:bookmarkEnd w:id="52"/>
      <w:r>
        <w:t xml:space="preserve"> </w:t>
      </w:r>
    </w:p>
    <w:p w:rsidR="00762C45" w:rsidRDefault="00762C45">
      <w:pPr>
        <w:ind w:firstLine="567"/>
        <w:jc w:val="both"/>
        <w:rPr>
          <w:bCs/>
          <w:color w:val="FF0000"/>
          <w:sz w:val="22"/>
          <w:szCs w:val="22"/>
        </w:rPr>
      </w:pPr>
    </w:p>
    <w:p w:rsidR="00762C45" w:rsidRDefault="00303B66">
      <w:pPr>
        <w:widowControl/>
        <w:suppressAutoHyphens w:val="0"/>
        <w:ind w:firstLine="567"/>
        <w:jc w:val="both"/>
        <w:rPr>
          <w:rFonts w:eastAsia="Times New Roman"/>
          <w:sz w:val="22"/>
          <w:szCs w:val="22"/>
        </w:rPr>
      </w:pPr>
      <w:r>
        <w:rPr>
          <w:rFonts w:eastAsia="Times New Roman"/>
          <w:sz w:val="22"/>
          <w:szCs w:val="22"/>
        </w:rPr>
        <w:t>O Programa de Acessibilidade e Inclusão caracteriza-se como um projeto em contínua revisão, com o objetivo de promover ações para a acessibilidade e inclusão dos alunos e colaboradores com deficiência física, intelectual ou sensorial, a fim de que possam desfrutar, com autonomia, facilidade e dignidade, dos espaços e atividades acadêmicas em geral ou laborais.</w:t>
      </w:r>
    </w:p>
    <w:p w:rsidR="00762C45" w:rsidRDefault="00303B66">
      <w:pPr>
        <w:widowControl/>
        <w:suppressAutoHyphens w:val="0"/>
        <w:ind w:firstLine="567"/>
        <w:jc w:val="both"/>
        <w:rPr>
          <w:rFonts w:eastAsia="Times New Roman"/>
          <w:sz w:val="22"/>
          <w:szCs w:val="22"/>
        </w:rPr>
      </w:pPr>
      <w:r>
        <w:rPr>
          <w:rFonts w:eastAsia="Times New Roman"/>
          <w:sz w:val="22"/>
          <w:szCs w:val="22"/>
        </w:rPr>
        <w:t>Segundo o Estatuto da Pessoa com Deficiência, no Artigo 101, Capítulo I, acessibilidade e inclusão “é a condição de alcance para a utilização, com segurança e autonomia, total ou assistida, dos espaços, mobiliários e equipamentos urbanos, das edificações, dos transportes e dos dispositivos, sistemas e meios de comunicação e informação, por pessoa com deficiência. ”</w:t>
      </w:r>
    </w:p>
    <w:p w:rsidR="00762C45" w:rsidRDefault="00303B66">
      <w:pPr>
        <w:widowControl/>
        <w:suppressAutoHyphens w:val="0"/>
        <w:ind w:firstLine="567"/>
        <w:jc w:val="both"/>
        <w:rPr>
          <w:rFonts w:eastAsia="Times New Roman"/>
          <w:sz w:val="22"/>
          <w:szCs w:val="22"/>
        </w:rPr>
      </w:pPr>
      <w:r>
        <w:rPr>
          <w:bCs/>
          <w:sz w:val="22"/>
          <w:szCs w:val="22"/>
        </w:rPr>
        <w:lastRenderedPageBreak/>
        <w:t xml:space="preserve">O Programa de Acessibilidade do CAV visa </w:t>
      </w:r>
      <w:r>
        <w:rPr>
          <w:sz w:val="22"/>
          <w:szCs w:val="22"/>
        </w:rPr>
        <w:t>promover condições de acessibilidade ao ambiente físico, aos recursos didáticos e pedagógicos e a comunicação e informação aos alunos regularmente matriculados nos seus cursos, bem como a outras pessoas necessitadas, proporcionando uma vida mais autônoma e inclusiva.</w:t>
      </w:r>
    </w:p>
    <w:p w:rsidR="00762C45" w:rsidRDefault="00303B66">
      <w:pPr>
        <w:ind w:firstLine="567"/>
        <w:jc w:val="both"/>
        <w:rPr>
          <w:sz w:val="22"/>
          <w:szCs w:val="22"/>
        </w:rPr>
      </w:pPr>
      <w:r>
        <w:rPr>
          <w:sz w:val="22"/>
          <w:szCs w:val="22"/>
        </w:rPr>
        <w:t>O programa visa a a</w:t>
      </w:r>
      <w:r>
        <w:rPr>
          <w:rFonts w:eastAsia="Times New Roman"/>
          <w:sz w:val="22"/>
          <w:szCs w:val="22"/>
        </w:rPr>
        <w:t xml:space="preserve">dequação arquitetônica incluindo rampas, sanitários, vias de acesso, instalação de corrimão e de sinalização visual, tátil e sonora, bem como a aquisição de cadeiras de rodas, recursos de tecnologia assistiva, bebedouros e mobiliários acessíveis. A </w:t>
      </w:r>
      <w:r>
        <w:rPr>
          <w:rStyle w:val="Forte"/>
          <w:sz w:val="22"/>
          <w:szCs w:val="22"/>
        </w:rPr>
        <w:t>Tecnologia Assistiva</w:t>
      </w:r>
      <w:r>
        <w:rPr>
          <w:sz w:val="22"/>
          <w:szCs w:val="22"/>
        </w:rPr>
        <w:t xml:space="preserve"> é um termo ainda novo, utilizado para identificar todo o arsenal de </w:t>
      </w:r>
      <w:r>
        <w:rPr>
          <w:rStyle w:val="Forte"/>
          <w:sz w:val="22"/>
          <w:szCs w:val="22"/>
        </w:rPr>
        <w:t xml:space="preserve">Recursos </w:t>
      </w:r>
      <w:r>
        <w:rPr>
          <w:sz w:val="22"/>
          <w:szCs w:val="22"/>
        </w:rPr>
        <w:t xml:space="preserve">e </w:t>
      </w:r>
      <w:r>
        <w:rPr>
          <w:rStyle w:val="Forte"/>
          <w:sz w:val="22"/>
          <w:szCs w:val="22"/>
        </w:rPr>
        <w:t>Serviços</w:t>
      </w:r>
      <w:r>
        <w:rPr>
          <w:sz w:val="22"/>
          <w:szCs w:val="22"/>
        </w:rPr>
        <w:t xml:space="preserve"> que contribuem para proporcionar ou ampliar habilidades funcionais de pessoas com deficiência e consequentemente promover </w:t>
      </w:r>
      <w:r>
        <w:rPr>
          <w:rStyle w:val="Forte"/>
          <w:sz w:val="22"/>
          <w:szCs w:val="22"/>
        </w:rPr>
        <w:t>Vida Independente</w:t>
      </w:r>
      <w:r>
        <w:rPr>
          <w:sz w:val="22"/>
          <w:szCs w:val="22"/>
        </w:rPr>
        <w:t xml:space="preserve"> e </w:t>
      </w:r>
      <w:r>
        <w:rPr>
          <w:rStyle w:val="Forte"/>
          <w:sz w:val="22"/>
          <w:szCs w:val="22"/>
        </w:rPr>
        <w:t>Inclusão</w:t>
      </w:r>
      <w:r>
        <w:rPr>
          <w:sz w:val="22"/>
          <w:szCs w:val="22"/>
        </w:rPr>
        <w:t>.</w:t>
      </w:r>
    </w:p>
    <w:p w:rsidR="00762C45" w:rsidRDefault="00303B66">
      <w:pPr>
        <w:ind w:firstLine="567"/>
        <w:jc w:val="both"/>
        <w:rPr>
          <w:sz w:val="22"/>
          <w:szCs w:val="22"/>
        </w:rPr>
      </w:pPr>
      <w:r>
        <w:rPr>
          <w:sz w:val="22"/>
          <w:szCs w:val="22"/>
        </w:rPr>
        <w:t>O CAV já possui uma boa estrutura para receber as pessoas com deficiência e atender suas necessidades pois, recentemente, foi concluída e entregue a sua nova sede onde constam sanitários construídos dentro dos padrões exigidos pela legislação e acesso universal por rampas às diversas dependências do prédio.</w:t>
      </w:r>
    </w:p>
    <w:p w:rsidR="00762C45" w:rsidRDefault="00303B66">
      <w:pPr>
        <w:ind w:firstLine="567"/>
        <w:jc w:val="both"/>
        <w:rPr>
          <w:bCs/>
          <w:sz w:val="22"/>
          <w:szCs w:val="22"/>
        </w:rPr>
      </w:pPr>
      <w:r>
        <w:rPr>
          <w:sz w:val="22"/>
          <w:szCs w:val="22"/>
        </w:rPr>
        <w:t>Pretende-se melhorar ainda mais essas condições de acessibilidade incluindo meios-fios rebaixados, sinalização visual e me braile, corrimãos nas rampas e realização de palestras de sensibilização e cursos de capacitação para servidores.</w:t>
      </w:r>
    </w:p>
    <w:p w:rsidR="00762C45" w:rsidRDefault="00762C45">
      <w:pPr>
        <w:ind w:hanging="720"/>
        <w:jc w:val="both"/>
        <w:rPr>
          <w:color w:val="FF0000"/>
          <w:sz w:val="22"/>
          <w:szCs w:val="22"/>
        </w:rPr>
      </w:pPr>
    </w:p>
    <w:p w:rsidR="00762C45" w:rsidRDefault="00303B66">
      <w:pPr>
        <w:pStyle w:val="Estilo3"/>
      </w:pPr>
      <w:bookmarkStart w:id="53" w:name="_Toc474391192"/>
      <w:bookmarkEnd w:id="53"/>
      <w:r>
        <w:t>3.11.4</w:t>
      </w:r>
      <w:r>
        <w:tab/>
        <w:t>Projeto/implementação do Núcleo de Apoio a Pessoa com Necessidades Especiais (NAPNE)</w:t>
      </w:r>
    </w:p>
    <w:p w:rsidR="00762C45" w:rsidRDefault="00762C45">
      <w:pPr>
        <w:ind w:firstLine="567"/>
        <w:jc w:val="both"/>
        <w:rPr>
          <w:bCs/>
          <w:color w:val="FF0000"/>
          <w:sz w:val="22"/>
          <w:szCs w:val="22"/>
        </w:rPr>
      </w:pPr>
    </w:p>
    <w:p w:rsidR="00762C45" w:rsidRDefault="00303B66">
      <w:pPr>
        <w:ind w:firstLine="567"/>
        <w:jc w:val="both"/>
        <w:rPr>
          <w:bCs/>
          <w:sz w:val="22"/>
          <w:szCs w:val="22"/>
        </w:rPr>
      </w:pPr>
      <w:r>
        <w:rPr>
          <w:bCs/>
          <w:sz w:val="22"/>
          <w:szCs w:val="22"/>
        </w:rPr>
        <w:t xml:space="preserve">O projeto de implantação para o NAPNE somente será possível até partir de 2018, mediante a contratação de um assistente social e um psicólogo para atuar no </w:t>
      </w:r>
      <w:r>
        <w:rPr>
          <w:bCs/>
          <w:i/>
          <w:sz w:val="22"/>
          <w:szCs w:val="22"/>
        </w:rPr>
        <w:t>campus</w:t>
      </w:r>
      <w:r>
        <w:rPr>
          <w:bCs/>
          <w:sz w:val="22"/>
          <w:szCs w:val="22"/>
        </w:rPr>
        <w:t xml:space="preserve">, sem os quais o campus conta com o apoio de profissionais de outros </w:t>
      </w:r>
      <w:r>
        <w:rPr>
          <w:bCs/>
          <w:i/>
          <w:sz w:val="22"/>
          <w:szCs w:val="22"/>
        </w:rPr>
        <w:t>camp</w:t>
      </w:r>
      <w:r>
        <w:rPr>
          <w:bCs/>
          <w:sz w:val="22"/>
          <w:szCs w:val="22"/>
        </w:rPr>
        <w:t>i.</w:t>
      </w:r>
    </w:p>
    <w:p w:rsidR="00762C45" w:rsidRDefault="00762C45">
      <w:pPr>
        <w:ind w:firstLine="567"/>
        <w:jc w:val="both"/>
        <w:rPr>
          <w:sz w:val="22"/>
          <w:szCs w:val="22"/>
        </w:rPr>
      </w:pPr>
    </w:p>
    <w:p w:rsidR="00762C45" w:rsidRDefault="00303B66">
      <w:pPr>
        <w:pStyle w:val="Estilo5"/>
        <w:jc w:val="both"/>
        <w:outlineLvl w:val="2"/>
        <w:rPr>
          <w:b/>
        </w:rPr>
      </w:pPr>
      <w:bookmarkStart w:id="54" w:name="_Toc474391193"/>
      <w:bookmarkEnd w:id="54"/>
      <w:r>
        <w:rPr>
          <w:b/>
        </w:rPr>
        <w:t>3.11.4.1 Política de proteção dos direitos da pessoa com transtorno do espectro autista, conforme disposto da Lei nº 12.764/2012</w:t>
      </w:r>
    </w:p>
    <w:p w:rsidR="00762C45" w:rsidRDefault="00762C45">
      <w:pPr>
        <w:ind w:firstLine="720"/>
        <w:jc w:val="both"/>
        <w:rPr>
          <w:bCs/>
          <w:sz w:val="22"/>
          <w:szCs w:val="22"/>
        </w:rPr>
      </w:pPr>
    </w:p>
    <w:p w:rsidR="00762C45" w:rsidRDefault="00303B66">
      <w:pPr>
        <w:ind w:firstLine="567"/>
        <w:jc w:val="both"/>
        <w:rPr>
          <w:bCs/>
          <w:sz w:val="22"/>
          <w:szCs w:val="22"/>
        </w:rPr>
      </w:pPr>
      <w:r>
        <w:rPr>
          <w:bCs/>
          <w:sz w:val="22"/>
          <w:szCs w:val="22"/>
        </w:rPr>
        <w:t xml:space="preserve">Esta política somente será possível de ser implementada a partir de 2018, mediante a contratação de um assistente social e um psicólogo para atuar no </w:t>
      </w:r>
      <w:r>
        <w:rPr>
          <w:bCs/>
          <w:i/>
          <w:sz w:val="22"/>
          <w:szCs w:val="22"/>
        </w:rPr>
        <w:t>campus</w:t>
      </w:r>
      <w:r>
        <w:rPr>
          <w:bCs/>
          <w:sz w:val="22"/>
          <w:szCs w:val="22"/>
        </w:rPr>
        <w:t xml:space="preserve">, sem os quais o campus conta com o apoio de profissionais de outros </w:t>
      </w:r>
      <w:r>
        <w:rPr>
          <w:bCs/>
          <w:i/>
          <w:sz w:val="22"/>
          <w:szCs w:val="22"/>
        </w:rPr>
        <w:t>camp</w:t>
      </w:r>
      <w:r>
        <w:rPr>
          <w:bCs/>
          <w:sz w:val="22"/>
          <w:szCs w:val="22"/>
        </w:rPr>
        <w:t>i.</w:t>
      </w:r>
    </w:p>
    <w:p w:rsidR="00762C45" w:rsidRDefault="00762C45">
      <w:pPr>
        <w:ind w:firstLine="567"/>
        <w:jc w:val="both"/>
        <w:rPr>
          <w:sz w:val="22"/>
          <w:szCs w:val="22"/>
        </w:rPr>
      </w:pPr>
    </w:p>
    <w:p w:rsidR="00762C45" w:rsidRDefault="00303B66">
      <w:pPr>
        <w:pStyle w:val="Estilo3"/>
      </w:pPr>
      <w:bookmarkStart w:id="55" w:name="_Toc474391194"/>
      <w:bookmarkEnd w:id="55"/>
      <w:r>
        <w:t>3.11.5</w:t>
      </w:r>
      <w:r>
        <w:tab/>
        <w:t>Projeto/implementação do Núcleo de Estudos Afrobrasileiro e Indígena (NEABI)</w:t>
      </w:r>
    </w:p>
    <w:p w:rsidR="00762C45" w:rsidRDefault="00762C45">
      <w:pPr>
        <w:ind w:firstLine="720"/>
        <w:jc w:val="both"/>
        <w:rPr>
          <w:bCs/>
          <w:color w:val="FF0000"/>
          <w:sz w:val="22"/>
          <w:szCs w:val="22"/>
        </w:rPr>
      </w:pPr>
    </w:p>
    <w:p w:rsidR="00762C45" w:rsidRDefault="00303B66">
      <w:pPr>
        <w:ind w:firstLine="720"/>
        <w:jc w:val="both"/>
        <w:rPr>
          <w:bCs/>
          <w:sz w:val="22"/>
          <w:szCs w:val="22"/>
        </w:rPr>
      </w:pPr>
      <w:r>
        <w:rPr>
          <w:bCs/>
          <w:sz w:val="22"/>
          <w:szCs w:val="22"/>
        </w:rPr>
        <w:t>O projeto de implantação para o NEABI somente será possível a partir de 2018, mediante a contratação de novos servidores para atuarem nesta área.</w:t>
      </w:r>
    </w:p>
    <w:p w:rsidR="00762C45" w:rsidRDefault="00762C45">
      <w:pPr>
        <w:jc w:val="both"/>
        <w:rPr>
          <w:sz w:val="22"/>
          <w:szCs w:val="22"/>
        </w:rPr>
      </w:pPr>
    </w:p>
    <w:p w:rsidR="00762C45" w:rsidRDefault="00303B66">
      <w:pPr>
        <w:pStyle w:val="Estilo3"/>
      </w:pPr>
      <w:bookmarkStart w:id="56" w:name="_Toc474391195"/>
      <w:bookmarkEnd w:id="56"/>
      <w:r>
        <w:t>3.11.6</w:t>
      </w:r>
      <w:r>
        <w:tab/>
        <w:t>Políticas de Assistência Estudantil</w:t>
      </w:r>
    </w:p>
    <w:p w:rsidR="00762C45" w:rsidRDefault="00762C45">
      <w:pPr>
        <w:ind w:left="720" w:hanging="720"/>
        <w:jc w:val="both"/>
        <w:rPr>
          <w:sz w:val="22"/>
          <w:szCs w:val="22"/>
        </w:rPr>
      </w:pPr>
    </w:p>
    <w:p w:rsidR="00762C45" w:rsidRDefault="00303B66">
      <w:pPr>
        <w:ind w:firstLine="567"/>
        <w:jc w:val="both"/>
        <w:rPr>
          <w:sz w:val="22"/>
          <w:szCs w:val="22"/>
        </w:rPr>
      </w:pPr>
      <w:r>
        <w:rPr>
          <w:sz w:val="22"/>
          <w:szCs w:val="22"/>
        </w:rPr>
        <w:t xml:space="preserve">A política de Assistência Estudantil do CAV visa assegurar ao estudante o acesso, a permanência e a conclusão do curso, na perspectiva de formar cidadãos capazes de compreender a realidade de forma crítico-reflexivo, transformadora e de atuação cidadã, tendo como horizonte a construção de uma sociedade mais justa, de modo a viabilizar a igualdade de oportunidades entre todos os estudantes e contribuir para a melhoria do desempenho acadêmico, a partir de medidas que buscam combater situações de repetência e evasão. </w:t>
      </w:r>
    </w:p>
    <w:p w:rsidR="00762C45" w:rsidRDefault="00303B66">
      <w:pPr>
        <w:ind w:firstLine="567"/>
        <w:jc w:val="both"/>
        <w:rPr>
          <w:sz w:val="22"/>
          <w:szCs w:val="22"/>
        </w:rPr>
      </w:pPr>
      <w:r>
        <w:rPr>
          <w:sz w:val="22"/>
          <w:szCs w:val="22"/>
        </w:rPr>
        <w:t>Neste sentido, o CAV tem como objetivo realizar acompanhamento psicossocial aos discentes visando melhorar o desempenho acadêmico; a relação interpessoal entre discentes, docentes, técnicos e terceirizados; reduzir o índice de evasão e a retenção na série; assegurar ao aluno que apresente necessidades educativas especiais e condições para seu amplo desenvolvimento acadêmico; promover programas de atenção aos estudantes portadores de necessidades especiais; ofertar educação de qualidade para jovens e adultos trabalhadores, que tiveram seu processo educativo interrompido;</w:t>
      </w:r>
      <w:r>
        <w:rPr>
          <w:color w:val="FF0000"/>
        </w:rPr>
        <w:t xml:space="preserve"> </w:t>
      </w:r>
      <w:r>
        <w:rPr>
          <w:sz w:val="22"/>
          <w:szCs w:val="22"/>
        </w:rPr>
        <w:t>fortalecer e ampliar programas de bolsa: alimentação, permanência, transporte, extensão, monitoria e outros; reduzir os efeitos das desigualdades socioeconômicas e culturais; realizar projetos de extensão tendo em vista socializar com a comunidade o</w:t>
      </w:r>
      <w:r>
        <w:rPr>
          <w:color w:val="FF0000"/>
        </w:rPr>
        <w:t xml:space="preserve"> </w:t>
      </w:r>
      <w:r>
        <w:rPr>
          <w:sz w:val="22"/>
          <w:szCs w:val="22"/>
        </w:rPr>
        <w:t xml:space="preserve">elaborado e produzido no processo educativo. </w:t>
      </w:r>
    </w:p>
    <w:p w:rsidR="00762C45" w:rsidRDefault="00303B66">
      <w:pPr>
        <w:ind w:firstLine="567"/>
        <w:jc w:val="both"/>
        <w:rPr>
          <w:sz w:val="22"/>
          <w:szCs w:val="22"/>
        </w:rPr>
      </w:pPr>
      <w:r>
        <w:rPr>
          <w:sz w:val="22"/>
          <w:szCs w:val="22"/>
        </w:rPr>
        <w:t xml:space="preserve">A Assistência ao Estudante atualmente vem sendo realizada através da concessão de auxílio transporte municipal e intermunicipal, monitoria e de atividades administrativo-acadêmicas junto ao CAV além do fornecimento de uniformes, kit escolar, entre outros. Está previsto também oferecer assistência à moradia estudantil, </w:t>
      </w:r>
      <w:r>
        <w:rPr>
          <w:sz w:val="22"/>
          <w:szCs w:val="22"/>
        </w:rPr>
        <w:lastRenderedPageBreak/>
        <w:t xml:space="preserve">alimentação, saúde, inclusão digital, cultura, esporte, creche e apoio pedagógico. </w:t>
      </w:r>
    </w:p>
    <w:p w:rsidR="00762C45" w:rsidRDefault="00762C45">
      <w:pPr>
        <w:spacing w:line="276" w:lineRule="auto"/>
        <w:ind w:left="720"/>
        <w:jc w:val="both"/>
      </w:pPr>
    </w:p>
    <w:p w:rsidR="00762C45" w:rsidRDefault="00303B66">
      <w:pPr>
        <w:pStyle w:val="Estilo20"/>
      </w:pPr>
      <w:bookmarkStart w:id="57" w:name="_Toc474391196"/>
      <w:r>
        <w:t>3.12. Programas de Apoio à realização de Eventos internos, externos e à Produção Discente</w:t>
      </w:r>
      <w:bookmarkEnd w:id="57"/>
      <w:r>
        <w:t xml:space="preserve"> </w:t>
      </w:r>
    </w:p>
    <w:p w:rsidR="00762C45" w:rsidRDefault="00762C45">
      <w:pPr>
        <w:ind w:right="155" w:firstLine="709"/>
        <w:rPr>
          <w:sz w:val="22"/>
          <w:szCs w:val="22"/>
        </w:rPr>
      </w:pPr>
    </w:p>
    <w:p w:rsidR="00762C45" w:rsidRDefault="00303B66">
      <w:pPr>
        <w:ind w:firstLine="709"/>
        <w:jc w:val="both"/>
        <w:rPr>
          <w:sz w:val="22"/>
          <w:szCs w:val="22"/>
        </w:rPr>
      </w:pPr>
      <w:r>
        <w:rPr>
          <w:sz w:val="22"/>
          <w:szCs w:val="22"/>
        </w:rPr>
        <w:t>Como forma de subsidiar a promoção e participação dos discentes do CAV em eventos científicos serão necessárias algumas ações prioritárias:</w:t>
      </w:r>
    </w:p>
    <w:p w:rsidR="00762C45" w:rsidRDefault="00303B66">
      <w:pPr>
        <w:tabs>
          <w:tab w:val="left" w:pos="284"/>
          <w:tab w:val="left" w:pos="709"/>
          <w:tab w:val="left" w:pos="1077"/>
        </w:tabs>
        <w:jc w:val="both"/>
        <w:rPr>
          <w:sz w:val="22"/>
          <w:szCs w:val="22"/>
        </w:rPr>
      </w:pPr>
      <w:r>
        <w:rPr>
          <w:b/>
          <w:bCs/>
          <w:sz w:val="22"/>
          <w:szCs w:val="22"/>
        </w:rPr>
        <w:t>1.</w:t>
      </w:r>
      <w:r>
        <w:rPr>
          <w:b/>
          <w:bCs/>
          <w:sz w:val="22"/>
          <w:szCs w:val="22"/>
        </w:rPr>
        <w:tab/>
        <w:t xml:space="preserve">A aquisição de um ônibus para o </w:t>
      </w:r>
      <w:r>
        <w:rPr>
          <w:b/>
          <w:bCs/>
          <w:i/>
          <w:sz w:val="22"/>
          <w:szCs w:val="22"/>
        </w:rPr>
        <w:t>campus</w:t>
      </w:r>
      <w:r>
        <w:rPr>
          <w:b/>
          <w:bCs/>
          <w:sz w:val="22"/>
          <w:szCs w:val="22"/>
        </w:rPr>
        <w:t xml:space="preserve"> a fim de possibilitar:</w:t>
      </w:r>
    </w:p>
    <w:p w:rsidR="00762C45" w:rsidRDefault="00303B66">
      <w:pPr>
        <w:pStyle w:val="PargrafodaLista"/>
        <w:numPr>
          <w:ilvl w:val="0"/>
          <w:numId w:val="3"/>
        </w:numPr>
        <w:tabs>
          <w:tab w:val="left" w:pos="284"/>
          <w:tab w:val="left" w:pos="567"/>
        </w:tabs>
        <w:spacing w:line="240" w:lineRule="auto"/>
        <w:ind w:left="0" w:firstLine="0"/>
        <w:rPr>
          <w:rFonts w:ascii="Times New Roman" w:hAnsi="Times New Roman" w:cs="Times New Roman"/>
          <w:b/>
          <w:bCs/>
          <w:color w:val="00000A"/>
          <w:sz w:val="22"/>
          <w:szCs w:val="22"/>
        </w:rPr>
      </w:pPr>
      <w:r>
        <w:rPr>
          <w:rFonts w:ascii="Times New Roman" w:hAnsi="Times New Roman" w:cs="Times New Roman"/>
          <w:color w:val="00000A"/>
          <w:sz w:val="22"/>
          <w:szCs w:val="22"/>
        </w:rPr>
        <w:t xml:space="preserve">a participação dos discentes em atividades práticas, visitas técnicas, pesquisas de campo, essenciais para a ampliação do conhecimento humano, ao desenvolvimento de novas técnicas, da ciência, tecnologia, criação e difusão da cultura; </w:t>
      </w:r>
    </w:p>
    <w:p w:rsidR="00762C45" w:rsidRDefault="00303B66">
      <w:pPr>
        <w:pStyle w:val="PargrafodaLista"/>
        <w:numPr>
          <w:ilvl w:val="0"/>
          <w:numId w:val="3"/>
        </w:numPr>
        <w:tabs>
          <w:tab w:val="left" w:pos="284"/>
          <w:tab w:val="left" w:pos="567"/>
        </w:tabs>
        <w:spacing w:line="240" w:lineRule="auto"/>
        <w:ind w:left="0" w:firstLine="0"/>
        <w:rPr>
          <w:rFonts w:ascii="Times New Roman" w:hAnsi="Times New Roman" w:cs="Times New Roman"/>
          <w:b/>
          <w:bCs/>
          <w:color w:val="00000A"/>
          <w:sz w:val="22"/>
          <w:szCs w:val="22"/>
        </w:rPr>
      </w:pPr>
      <w:r>
        <w:rPr>
          <w:rFonts w:ascii="Times New Roman" w:hAnsi="Times New Roman" w:cs="Times New Roman"/>
          <w:color w:val="00000A"/>
          <w:sz w:val="22"/>
          <w:szCs w:val="22"/>
        </w:rPr>
        <w:t xml:space="preserve">a autonomia de deslocamento dos discentes, o que aumentará em 100% a participação dos mesmos em eventos de caráter técnico, científico e cultural locais, estaduais, regionais e nacionais. </w:t>
      </w:r>
    </w:p>
    <w:p w:rsidR="00762C45" w:rsidRDefault="00303B66">
      <w:pPr>
        <w:tabs>
          <w:tab w:val="left" w:pos="302"/>
        </w:tabs>
        <w:jc w:val="both"/>
        <w:rPr>
          <w:sz w:val="22"/>
          <w:szCs w:val="22"/>
        </w:rPr>
      </w:pPr>
      <w:r>
        <w:rPr>
          <w:b/>
          <w:bCs/>
          <w:sz w:val="22"/>
          <w:szCs w:val="22"/>
        </w:rPr>
        <w:t>2.</w:t>
      </w:r>
      <w:r>
        <w:rPr>
          <w:b/>
          <w:bCs/>
          <w:sz w:val="22"/>
          <w:szCs w:val="22"/>
        </w:rPr>
        <w:tab/>
        <w:t>Garantir na matriz orçamentária o recurso exclusivo e suficiente para viabilizar:</w:t>
      </w:r>
    </w:p>
    <w:p w:rsidR="00762C45" w:rsidRDefault="00303B66">
      <w:pPr>
        <w:pStyle w:val="PargrafodaLista"/>
        <w:numPr>
          <w:ilvl w:val="0"/>
          <w:numId w:val="4"/>
        </w:numPr>
        <w:tabs>
          <w:tab w:val="left" w:pos="284"/>
        </w:tabs>
        <w:spacing w:line="240" w:lineRule="auto"/>
        <w:ind w:left="0" w:firstLine="0"/>
        <w:rPr>
          <w:rFonts w:ascii="Times New Roman" w:hAnsi="Times New Roman" w:cs="Times New Roman"/>
          <w:b/>
          <w:bCs/>
          <w:color w:val="00000A"/>
          <w:sz w:val="22"/>
          <w:szCs w:val="22"/>
        </w:rPr>
      </w:pPr>
      <w:r>
        <w:rPr>
          <w:rFonts w:ascii="Times New Roman" w:hAnsi="Times New Roman" w:cs="Times New Roman"/>
          <w:color w:val="00000A"/>
          <w:sz w:val="22"/>
          <w:szCs w:val="22"/>
        </w:rPr>
        <w:t xml:space="preserve"> a participação dos discentes em eventos científicos a nível nacional com a disponibilidade de recursos financeiros para viagens e ajuda de custo;</w:t>
      </w:r>
    </w:p>
    <w:p w:rsidR="00762C45" w:rsidRDefault="00303B66">
      <w:pPr>
        <w:pStyle w:val="PargrafodaLista"/>
        <w:numPr>
          <w:ilvl w:val="0"/>
          <w:numId w:val="4"/>
        </w:numPr>
        <w:tabs>
          <w:tab w:val="left" w:pos="284"/>
        </w:tabs>
        <w:spacing w:line="240" w:lineRule="auto"/>
        <w:ind w:left="0" w:firstLine="0"/>
        <w:rPr>
          <w:rFonts w:ascii="Times New Roman" w:hAnsi="Times New Roman" w:cs="Times New Roman"/>
          <w:b/>
          <w:bCs/>
          <w:color w:val="00000A"/>
          <w:sz w:val="22"/>
          <w:szCs w:val="22"/>
        </w:rPr>
      </w:pPr>
      <w:r>
        <w:rPr>
          <w:rFonts w:ascii="Times New Roman" w:hAnsi="Times New Roman" w:cs="Times New Roman"/>
          <w:color w:val="00000A"/>
          <w:sz w:val="22"/>
          <w:szCs w:val="22"/>
        </w:rPr>
        <w:t>a realização de eventos de pesquisa e extensão (Simpósios, Feiras, Oficinas, Ações Sociais, etc.), através dos quais serão devolvidos a comunidade externa os resultados das atividades de pesquisa e extensão;</w:t>
      </w:r>
    </w:p>
    <w:p w:rsidR="00762C45" w:rsidRDefault="00303B66">
      <w:pPr>
        <w:pStyle w:val="PargrafodaLista"/>
        <w:numPr>
          <w:ilvl w:val="0"/>
          <w:numId w:val="4"/>
        </w:numPr>
        <w:tabs>
          <w:tab w:val="left" w:pos="284"/>
        </w:tabs>
        <w:spacing w:line="240" w:lineRule="auto"/>
        <w:ind w:left="0" w:firstLine="0"/>
        <w:rPr>
          <w:rFonts w:ascii="Times New Roman" w:hAnsi="Times New Roman" w:cs="Times New Roman"/>
          <w:b/>
          <w:bCs/>
          <w:color w:val="00000A"/>
          <w:sz w:val="22"/>
          <w:szCs w:val="22"/>
        </w:rPr>
      </w:pPr>
      <w:r>
        <w:rPr>
          <w:rFonts w:ascii="Times New Roman" w:hAnsi="Times New Roman" w:cs="Times New Roman"/>
          <w:color w:val="00000A"/>
          <w:sz w:val="22"/>
          <w:szCs w:val="22"/>
        </w:rPr>
        <w:t>a promoção de eventos de extensão com o objetivo de garantir a difusão das atividades artísticas e culturais da comunidade externa;</w:t>
      </w:r>
    </w:p>
    <w:p w:rsidR="00762C45" w:rsidRDefault="00303B66">
      <w:pPr>
        <w:pStyle w:val="PargrafodaLista"/>
        <w:numPr>
          <w:ilvl w:val="0"/>
          <w:numId w:val="4"/>
        </w:numPr>
        <w:tabs>
          <w:tab w:val="left" w:pos="284"/>
        </w:tabs>
        <w:spacing w:line="240" w:lineRule="auto"/>
        <w:ind w:left="0" w:firstLine="0"/>
        <w:rPr>
          <w:rFonts w:ascii="Times New Roman" w:hAnsi="Times New Roman" w:cs="Times New Roman"/>
          <w:b/>
          <w:bCs/>
          <w:color w:val="00000A"/>
          <w:sz w:val="22"/>
          <w:szCs w:val="22"/>
        </w:rPr>
      </w:pPr>
      <w:r>
        <w:rPr>
          <w:rFonts w:ascii="Times New Roman" w:hAnsi="Times New Roman" w:cs="Times New Roman"/>
          <w:color w:val="00000A"/>
          <w:sz w:val="22"/>
          <w:szCs w:val="22"/>
        </w:rPr>
        <w:t>a construção de laboratórios de Recursos Pesqueiros, Aquicultura e Mecânica para dar o suporte necessário aos experimentos de pesquisa na área, buscando desta forma a melhor forma de aperfeiçoamento do conhecimento científico, tecnológico e de inovação, ao mesmo tempo em que visa à sustentabilidade por meio da extensão como articuladora e responsável pela transferência dos resultados à sociedade;</w:t>
      </w:r>
    </w:p>
    <w:p w:rsidR="00762C45" w:rsidRDefault="00303B66">
      <w:pPr>
        <w:pStyle w:val="PargrafodaLista"/>
        <w:numPr>
          <w:ilvl w:val="0"/>
          <w:numId w:val="4"/>
        </w:numPr>
        <w:tabs>
          <w:tab w:val="left" w:pos="284"/>
        </w:tabs>
        <w:spacing w:line="240" w:lineRule="auto"/>
        <w:ind w:left="0" w:firstLine="0"/>
        <w:rPr>
          <w:rFonts w:ascii="Times New Roman" w:hAnsi="Times New Roman" w:cs="Times New Roman"/>
          <w:b/>
          <w:bCs/>
          <w:color w:val="00000A"/>
          <w:sz w:val="22"/>
          <w:szCs w:val="22"/>
        </w:rPr>
      </w:pPr>
      <w:r>
        <w:rPr>
          <w:rFonts w:ascii="Times New Roman" w:hAnsi="Times New Roman" w:cs="Times New Roman"/>
          <w:color w:val="00000A"/>
          <w:sz w:val="22"/>
          <w:szCs w:val="22"/>
        </w:rPr>
        <w:t>a criação de sistema de monitoria, através de seleção e com o subsídio de bolsas aos alunos que os se destacarem nos componentes curriculares para desenvolver atividades de “reforço” dos conteúdos ministrados em sala de aula pelos professores, sob sua orientação. Essas atividades ocorrerão em horários e dias especiais, segundo o planejamento elaborado pela coordenação de cada curso.</w:t>
      </w:r>
    </w:p>
    <w:p w:rsidR="00762C45" w:rsidRDefault="00303B66">
      <w:pPr>
        <w:tabs>
          <w:tab w:val="left" w:pos="278"/>
          <w:tab w:val="left" w:pos="290"/>
        </w:tabs>
        <w:jc w:val="both"/>
        <w:rPr>
          <w:sz w:val="22"/>
          <w:szCs w:val="22"/>
        </w:rPr>
      </w:pPr>
      <w:r>
        <w:rPr>
          <w:b/>
          <w:bCs/>
          <w:sz w:val="22"/>
          <w:szCs w:val="22"/>
        </w:rPr>
        <w:t>3.</w:t>
      </w:r>
      <w:r>
        <w:rPr>
          <w:b/>
          <w:bCs/>
          <w:sz w:val="22"/>
          <w:szCs w:val="22"/>
        </w:rPr>
        <w:tab/>
        <w:t>Efetuar a parceria com Instituições de Pesquisa e Extensão (internas e externas):</w:t>
      </w:r>
    </w:p>
    <w:p w:rsidR="00762C45" w:rsidRDefault="00303B66">
      <w:pPr>
        <w:pStyle w:val="PargrafodaLista"/>
        <w:numPr>
          <w:ilvl w:val="0"/>
          <w:numId w:val="5"/>
        </w:numPr>
        <w:tabs>
          <w:tab w:val="left" w:pos="284"/>
        </w:tabs>
        <w:spacing w:line="240" w:lineRule="auto"/>
        <w:ind w:left="0" w:hanging="11"/>
        <w:rPr>
          <w:rFonts w:ascii="Times New Roman" w:hAnsi="Times New Roman" w:cs="Times New Roman"/>
          <w:sz w:val="22"/>
          <w:szCs w:val="22"/>
        </w:rPr>
      </w:pPr>
      <w:r>
        <w:rPr>
          <w:rFonts w:ascii="Times New Roman" w:hAnsi="Times New Roman" w:cs="Times New Roman"/>
          <w:sz w:val="22"/>
          <w:szCs w:val="22"/>
        </w:rPr>
        <w:t xml:space="preserve">através de termos de cooperação e/ou projetos guarda-chuva efetuar parcerias com empresas públicas e particulares, instituições de ensino, pesquisa e extensão, para proporcionar o fortalecimento dos grupos e linhas de pesquisa do </w:t>
      </w:r>
      <w:r>
        <w:rPr>
          <w:rFonts w:ascii="Times New Roman" w:hAnsi="Times New Roman" w:cs="Times New Roman"/>
          <w:i/>
          <w:sz w:val="22"/>
          <w:szCs w:val="22"/>
        </w:rPr>
        <w:t>campu</w:t>
      </w:r>
      <w:r>
        <w:rPr>
          <w:rFonts w:ascii="Times New Roman" w:hAnsi="Times New Roman" w:cs="Times New Roman"/>
          <w:sz w:val="22"/>
          <w:szCs w:val="22"/>
        </w:rPr>
        <w:t>s, onde será possível alinhar a multidisciplinaridade e a integração de competências já existentes/disponíveis.</w:t>
      </w:r>
    </w:p>
    <w:p w:rsidR="00762C45" w:rsidRDefault="00762C45">
      <w:pPr>
        <w:jc w:val="both"/>
        <w:rPr>
          <w:sz w:val="22"/>
          <w:szCs w:val="22"/>
        </w:rPr>
      </w:pPr>
    </w:p>
    <w:p w:rsidR="00762C45" w:rsidRDefault="00303B66">
      <w:pPr>
        <w:pStyle w:val="Estilo20"/>
      </w:pPr>
      <w:bookmarkStart w:id="58" w:name="_Toc474391197"/>
      <w:bookmarkEnd w:id="58"/>
      <w:r>
        <w:t>3.13. Política e Ações de Acompanhamento dos Egressos</w:t>
      </w:r>
    </w:p>
    <w:p w:rsidR="00762C45" w:rsidRDefault="00762C45">
      <w:pPr>
        <w:widowControl/>
        <w:suppressAutoHyphens w:val="0"/>
        <w:ind w:firstLine="720"/>
        <w:jc w:val="both"/>
        <w:rPr>
          <w:rFonts w:eastAsia="Times New Roman"/>
          <w:sz w:val="22"/>
          <w:szCs w:val="22"/>
        </w:rPr>
      </w:pPr>
    </w:p>
    <w:p w:rsidR="00762C45" w:rsidRDefault="00303B66">
      <w:pPr>
        <w:widowControl/>
        <w:suppressAutoHyphens w:val="0"/>
        <w:ind w:firstLine="720"/>
        <w:jc w:val="both"/>
        <w:rPr>
          <w:rFonts w:eastAsia="Times New Roman"/>
          <w:sz w:val="22"/>
          <w:szCs w:val="22"/>
        </w:rPr>
      </w:pPr>
      <w:r>
        <w:rPr>
          <w:rFonts w:eastAsia="Times New Roman"/>
          <w:sz w:val="22"/>
          <w:szCs w:val="22"/>
        </w:rPr>
        <w:t xml:space="preserve">As políticas e as ações direcionadas aos egressos do CAV estão vinculadas à ideia de por meio do Programa de Acompanhamento de Egressos possa se obter uma avaliação continuada das condições de oferta dos cursos, visando à formação de profissionais capazes de se integrarem no mercado de trabalho. </w:t>
      </w:r>
    </w:p>
    <w:p w:rsidR="00762C45" w:rsidRDefault="00303B66">
      <w:pPr>
        <w:widowControl/>
        <w:suppressAutoHyphens w:val="0"/>
        <w:ind w:firstLine="720"/>
        <w:jc w:val="both"/>
        <w:rPr>
          <w:rFonts w:ascii="Arial" w:eastAsia="Times New Roman" w:hAnsi="Arial" w:cs="Arial"/>
          <w:sz w:val="30"/>
          <w:szCs w:val="30"/>
        </w:rPr>
      </w:pPr>
      <w:r>
        <w:rPr>
          <w:rFonts w:eastAsia="Times New Roman"/>
          <w:sz w:val="22"/>
          <w:szCs w:val="22"/>
        </w:rPr>
        <w:t>Em 2015 foi realizado um contato direto com os egressos, através de pesquisa pela Coordenação de Pesquisa e Extensão. Com a continuidade desse trabalho será possível mapear e construir indicadores, a partir das informações colhidas, para uma discussão em termos da qualidade dos cursos e da repercussão dos mesmos no mercado de trabalho e na sociedade. Considerando também que as informações são importantes indicadores para o aperfeiçoamento dos próprios cursos e o desenvolvimento qualitativo de oferta educacional no CAV.</w:t>
      </w:r>
      <w:r>
        <w:rPr>
          <w:rFonts w:ascii="Arial" w:eastAsia="Times New Roman" w:hAnsi="Arial" w:cs="Arial"/>
          <w:sz w:val="30"/>
          <w:szCs w:val="30"/>
        </w:rPr>
        <w:t xml:space="preserve"> </w:t>
      </w:r>
    </w:p>
    <w:p w:rsidR="00762C45" w:rsidRDefault="00303B66">
      <w:pPr>
        <w:widowControl/>
        <w:suppressAutoHyphens w:val="0"/>
        <w:ind w:firstLine="567"/>
        <w:jc w:val="both"/>
        <w:rPr>
          <w:rFonts w:eastAsia="Times New Roman"/>
          <w:sz w:val="22"/>
          <w:szCs w:val="22"/>
        </w:rPr>
      </w:pPr>
      <w:r>
        <w:rPr>
          <w:rFonts w:eastAsia="Times New Roman"/>
          <w:sz w:val="22"/>
          <w:szCs w:val="22"/>
        </w:rPr>
        <w:t>Os Objetivos do Programa de Acompanhamento de Egressos são:</w:t>
      </w:r>
    </w:p>
    <w:p w:rsidR="00762C45" w:rsidRDefault="00303B66">
      <w:pPr>
        <w:pStyle w:val="PargrafodaLista"/>
        <w:numPr>
          <w:ilvl w:val="0"/>
          <w:numId w:val="14"/>
        </w:numPr>
        <w:tabs>
          <w:tab w:val="left" w:pos="284"/>
        </w:tabs>
        <w:suppressAutoHyphens w:val="0"/>
        <w:spacing w:line="240" w:lineRule="auto"/>
        <w:ind w:left="0" w:hanging="22"/>
        <w:rPr>
          <w:rFonts w:ascii="Times New Roman" w:hAnsi="Times New Roman" w:cs="Times New Roman"/>
          <w:color w:val="00000A"/>
          <w:sz w:val="22"/>
          <w:szCs w:val="22"/>
        </w:rPr>
      </w:pPr>
      <w:r>
        <w:rPr>
          <w:rFonts w:ascii="Times New Roman" w:hAnsi="Times New Roman" w:cs="Times New Roman"/>
          <w:color w:val="00000A"/>
          <w:sz w:val="22"/>
          <w:szCs w:val="22"/>
        </w:rPr>
        <w:t>Identificar o perfil do egresso e criar mecanismos para avaliação de seu desempenho nos postos de trabalho, quer no setor público, no privado ou no terceiro setor;</w:t>
      </w:r>
    </w:p>
    <w:p w:rsidR="00762C45" w:rsidRDefault="00303B66">
      <w:pPr>
        <w:pStyle w:val="PargrafodaLista"/>
        <w:numPr>
          <w:ilvl w:val="0"/>
          <w:numId w:val="14"/>
        </w:numPr>
        <w:tabs>
          <w:tab w:val="left" w:pos="284"/>
        </w:tabs>
        <w:suppressAutoHyphens w:val="0"/>
        <w:spacing w:line="240" w:lineRule="auto"/>
        <w:ind w:left="0" w:hanging="22"/>
        <w:rPr>
          <w:rFonts w:ascii="Times New Roman" w:hAnsi="Times New Roman" w:cs="Times New Roman"/>
          <w:color w:val="00000A"/>
          <w:sz w:val="22"/>
          <w:szCs w:val="22"/>
        </w:rPr>
      </w:pPr>
      <w:r>
        <w:rPr>
          <w:rFonts w:ascii="Times New Roman" w:hAnsi="Times New Roman" w:cs="Times New Roman"/>
          <w:color w:val="00000A"/>
          <w:sz w:val="22"/>
          <w:szCs w:val="22"/>
        </w:rPr>
        <w:t>Construir, a partir de instrumento de cadastro, um banco de dados com informações que possibilitem manter com o egresso uma comunicação permanente e estreito vínculo institucional;</w:t>
      </w:r>
    </w:p>
    <w:p w:rsidR="00762C45" w:rsidRDefault="00303B66">
      <w:pPr>
        <w:pStyle w:val="PargrafodaLista"/>
        <w:numPr>
          <w:ilvl w:val="0"/>
          <w:numId w:val="14"/>
        </w:numPr>
        <w:tabs>
          <w:tab w:val="left" w:pos="284"/>
        </w:tabs>
        <w:suppressAutoHyphens w:val="0"/>
        <w:spacing w:line="240" w:lineRule="auto"/>
        <w:ind w:left="0" w:hanging="22"/>
        <w:rPr>
          <w:rFonts w:ascii="Times New Roman" w:hAnsi="Times New Roman" w:cs="Times New Roman"/>
          <w:color w:val="00000A"/>
          <w:sz w:val="22"/>
          <w:szCs w:val="22"/>
        </w:rPr>
      </w:pPr>
      <w:r>
        <w:rPr>
          <w:rFonts w:ascii="Times New Roman" w:hAnsi="Times New Roman" w:cs="Times New Roman"/>
          <w:color w:val="00000A"/>
          <w:sz w:val="22"/>
          <w:szCs w:val="22"/>
        </w:rPr>
        <w:t>Estimular e criar condições para a educação continuada de egressos;</w:t>
      </w:r>
    </w:p>
    <w:p w:rsidR="00762C45" w:rsidRDefault="00303B66">
      <w:pPr>
        <w:pStyle w:val="PargrafodaLista"/>
        <w:numPr>
          <w:ilvl w:val="0"/>
          <w:numId w:val="14"/>
        </w:numPr>
        <w:tabs>
          <w:tab w:val="left" w:pos="284"/>
        </w:tabs>
        <w:suppressAutoHyphens w:val="0"/>
        <w:spacing w:line="240" w:lineRule="auto"/>
        <w:ind w:left="0" w:hanging="22"/>
        <w:rPr>
          <w:rFonts w:ascii="Times New Roman" w:hAnsi="Times New Roman" w:cs="Times New Roman"/>
          <w:color w:val="00000A"/>
          <w:sz w:val="22"/>
          <w:szCs w:val="22"/>
        </w:rPr>
      </w:pPr>
      <w:r>
        <w:rPr>
          <w:rFonts w:ascii="Times New Roman" w:hAnsi="Times New Roman" w:cs="Times New Roman"/>
          <w:color w:val="00000A"/>
          <w:sz w:val="22"/>
          <w:szCs w:val="22"/>
        </w:rPr>
        <w:t>Construir indicadores que subsidiem a adequação curricular às necessidades do desenvolvimento de competências e habilidades, em consonância com as diretrizes nacionais para os cursos superiores.</w:t>
      </w:r>
    </w:p>
    <w:p w:rsidR="00762C45" w:rsidRDefault="00303B66">
      <w:pPr>
        <w:suppressAutoHyphens w:val="0"/>
        <w:ind w:firstLine="567"/>
        <w:rPr>
          <w:sz w:val="22"/>
          <w:szCs w:val="22"/>
        </w:rPr>
      </w:pPr>
      <w:r>
        <w:rPr>
          <w:sz w:val="22"/>
          <w:szCs w:val="22"/>
        </w:rPr>
        <w:lastRenderedPageBreak/>
        <w:t>Os mecanismos de contato com egressos: presencial ou virtual</w:t>
      </w:r>
    </w:p>
    <w:p w:rsidR="00762C45" w:rsidRDefault="00303B66">
      <w:pPr>
        <w:pStyle w:val="PargrafodaLista"/>
        <w:numPr>
          <w:ilvl w:val="0"/>
          <w:numId w:val="15"/>
        </w:numPr>
        <w:tabs>
          <w:tab w:val="left" w:pos="284"/>
        </w:tabs>
        <w:suppressAutoHyphens w:val="0"/>
        <w:spacing w:line="240" w:lineRule="auto"/>
        <w:ind w:left="0" w:firstLine="0"/>
        <w:rPr>
          <w:rFonts w:ascii="Times New Roman" w:hAnsi="Times New Roman" w:cs="Times New Roman"/>
          <w:color w:val="00000A"/>
          <w:sz w:val="22"/>
          <w:szCs w:val="22"/>
        </w:rPr>
      </w:pPr>
      <w:r>
        <w:rPr>
          <w:rFonts w:ascii="Times New Roman" w:hAnsi="Times New Roman" w:cs="Times New Roman"/>
          <w:color w:val="00000A"/>
          <w:sz w:val="22"/>
          <w:szCs w:val="22"/>
        </w:rPr>
        <w:t>A criação de Portal de Egressos;</w:t>
      </w:r>
    </w:p>
    <w:p w:rsidR="00762C45" w:rsidRDefault="00303B66">
      <w:pPr>
        <w:pStyle w:val="PargrafodaLista"/>
        <w:numPr>
          <w:ilvl w:val="0"/>
          <w:numId w:val="15"/>
        </w:numPr>
        <w:tabs>
          <w:tab w:val="left" w:pos="284"/>
        </w:tabs>
        <w:suppressAutoHyphens w:val="0"/>
        <w:spacing w:line="240" w:lineRule="auto"/>
        <w:ind w:left="0" w:firstLine="0"/>
        <w:rPr>
          <w:rFonts w:ascii="Times New Roman" w:hAnsi="Times New Roman" w:cs="Times New Roman"/>
          <w:color w:val="00000A"/>
          <w:sz w:val="22"/>
          <w:szCs w:val="22"/>
        </w:rPr>
      </w:pPr>
      <w:r>
        <w:rPr>
          <w:rFonts w:ascii="Times New Roman" w:hAnsi="Times New Roman" w:cs="Times New Roman"/>
          <w:color w:val="00000A"/>
          <w:sz w:val="22"/>
          <w:szCs w:val="22"/>
        </w:rPr>
        <w:t>Apoio a formação de associação de ex-alunos.</w:t>
      </w:r>
    </w:p>
    <w:p w:rsidR="00762C45" w:rsidRDefault="00303B66">
      <w:pPr>
        <w:suppressAutoHyphens w:val="0"/>
        <w:ind w:firstLine="720"/>
        <w:jc w:val="both"/>
        <w:rPr>
          <w:sz w:val="22"/>
          <w:szCs w:val="22"/>
        </w:rPr>
      </w:pPr>
      <w:r>
        <w:rPr>
          <w:sz w:val="22"/>
          <w:szCs w:val="22"/>
        </w:rPr>
        <w:t xml:space="preserve">O Programa de Acompanhamento de Egressos, reconhece que todo o processo indicado nesta descrição das políticas é um processo contínuo, ou seja, poderá revisado periodicamente. </w:t>
      </w:r>
    </w:p>
    <w:p w:rsidR="00762C45" w:rsidRDefault="00762C45">
      <w:pPr>
        <w:pStyle w:val="Ttulo1"/>
        <w:jc w:val="both"/>
        <w:rPr>
          <w:color w:val="FF0000"/>
        </w:rPr>
      </w:pPr>
    </w:p>
    <w:p w:rsidR="00762C45" w:rsidRDefault="00303B66">
      <w:pPr>
        <w:pStyle w:val="Estilo20"/>
      </w:pPr>
      <w:bookmarkStart w:id="59" w:name="_Toc474391198"/>
      <w:r>
        <w:t>3.14. Organização Estudantil (DCE, Grêmios e Centros Acadêmicos)</w:t>
      </w:r>
      <w:bookmarkEnd w:id="59"/>
      <w:r>
        <w:t xml:space="preserve"> </w:t>
      </w:r>
    </w:p>
    <w:p w:rsidR="00762C45" w:rsidRDefault="00762C45">
      <w:pPr>
        <w:jc w:val="both"/>
        <w:rPr>
          <w:sz w:val="22"/>
          <w:szCs w:val="22"/>
        </w:rPr>
      </w:pPr>
    </w:p>
    <w:p w:rsidR="00762C45" w:rsidRDefault="00303B66">
      <w:pPr>
        <w:ind w:firstLine="567"/>
        <w:jc w:val="both"/>
      </w:pPr>
      <w:r>
        <w:rPr>
          <w:color w:val="000000"/>
          <w:sz w:val="22"/>
          <w:szCs w:val="22"/>
        </w:rPr>
        <w:t xml:space="preserve">Está sendo estruturado no âmbito do CAV a Comissão de Assistência Estudantil (CAE) e somente a partir com a instalação do Fórum Estudantil se dará orientações a classe estudantil para eleições da representação do Grêmio estudantil no CAV, o qual constitui um órgão autônomo, de representação máxima da organização coletiva do corpo discente da escola, composto apenas por estudantes de uma mesma escola, eleitos para defender os interesses coletivos e individuais dos estudantes. </w:t>
      </w:r>
    </w:p>
    <w:p w:rsidR="00762C45" w:rsidRDefault="00762C45">
      <w:pPr>
        <w:rPr>
          <w:sz w:val="22"/>
          <w:szCs w:val="22"/>
        </w:rPr>
      </w:pPr>
    </w:p>
    <w:p w:rsidR="00762C45" w:rsidRDefault="00303B66">
      <w:pPr>
        <w:pStyle w:val="Estilo20"/>
      </w:pPr>
      <w:bookmarkStart w:id="60" w:name="_Toc474391199"/>
      <w:r>
        <w:t>3.15. Inovação Tecnológica e Propriedade Intelectual</w:t>
      </w:r>
      <w:bookmarkEnd w:id="60"/>
      <w:r>
        <w:t xml:space="preserve"> </w:t>
      </w:r>
    </w:p>
    <w:p w:rsidR="00762C45" w:rsidRDefault="00762C45">
      <w:pPr>
        <w:ind w:firstLine="720"/>
        <w:jc w:val="both"/>
        <w:rPr>
          <w:color w:val="FF0000"/>
          <w:sz w:val="22"/>
          <w:szCs w:val="22"/>
        </w:rPr>
      </w:pPr>
    </w:p>
    <w:p w:rsidR="00762C45" w:rsidRDefault="00303B66">
      <w:pPr>
        <w:ind w:firstLine="720"/>
        <w:jc w:val="both"/>
        <w:rPr>
          <w:sz w:val="22"/>
          <w:szCs w:val="22"/>
        </w:rPr>
      </w:pPr>
      <w:r>
        <w:rPr>
          <w:sz w:val="22"/>
          <w:szCs w:val="22"/>
        </w:rPr>
        <w:t xml:space="preserve">O contexto da Pesquisa e Inovação no âmbito do CAV tem apresentado tímidos avanços contudo, esse cenário poderá ser ampliado a partir de parcerias com outros </w:t>
      </w:r>
      <w:r>
        <w:rPr>
          <w:i/>
          <w:sz w:val="22"/>
          <w:szCs w:val="22"/>
        </w:rPr>
        <w:t>campi</w:t>
      </w:r>
      <w:r>
        <w:rPr>
          <w:sz w:val="22"/>
          <w:szCs w:val="22"/>
        </w:rPr>
        <w:t xml:space="preserve"> do IFPA e outras instituições. </w:t>
      </w:r>
    </w:p>
    <w:p w:rsidR="00762C45" w:rsidRDefault="00303B66">
      <w:pPr>
        <w:ind w:firstLine="720"/>
        <w:jc w:val="both"/>
        <w:rPr>
          <w:i/>
          <w:sz w:val="22"/>
          <w:szCs w:val="22"/>
        </w:rPr>
      </w:pPr>
      <w:r>
        <w:rPr>
          <w:sz w:val="22"/>
          <w:szCs w:val="22"/>
        </w:rPr>
        <w:t xml:space="preserve">Além disso, a Instituição precisa ampliar os programas de inovação tecnológica, de empreendedorismo inovador e de cooperações entre institutos federais, universidades, empresas e institutos de pesquisa e inovação. Será dada uma ênfase maior aos projetos que visem ao desenvolvimento de produtos em propriedade intelectual, bem como àqueles relacionados ao foco tecnológico do </w:t>
      </w:r>
      <w:r>
        <w:rPr>
          <w:i/>
          <w:sz w:val="22"/>
          <w:szCs w:val="22"/>
        </w:rPr>
        <w:t>campus.</w:t>
      </w:r>
    </w:p>
    <w:p w:rsidR="00762C45" w:rsidRDefault="00762C45">
      <w:pPr>
        <w:jc w:val="both"/>
        <w:rPr>
          <w:i/>
          <w:sz w:val="22"/>
          <w:szCs w:val="22"/>
        </w:rPr>
      </w:pPr>
    </w:p>
    <w:p w:rsidR="00762C45" w:rsidRDefault="00303B66">
      <w:pPr>
        <w:pStyle w:val="Ttulo1"/>
        <w:tabs>
          <w:tab w:val="left" w:pos="284"/>
        </w:tabs>
      </w:pPr>
      <w:bookmarkStart w:id="61" w:name="_Toc474391200"/>
      <w:r>
        <w:rPr>
          <w:b/>
          <w:bCs/>
          <w:sz w:val="22"/>
          <w:szCs w:val="22"/>
        </w:rPr>
        <w:t>4.</w:t>
      </w:r>
      <w:r>
        <w:rPr>
          <w:b/>
          <w:bCs/>
          <w:sz w:val="22"/>
          <w:szCs w:val="22"/>
        </w:rPr>
        <w:tab/>
        <w:t>POLÍTICAS DE GESTÃO</w:t>
      </w:r>
      <w:bookmarkEnd w:id="61"/>
      <w:r>
        <w:rPr>
          <w:b/>
          <w:bCs/>
          <w:sz w:val="22"/>
          <w:szCs w:val="22"/>
        </w:rPr>
        <w:t xml:space="preserve">                    </w:t>
      </w:r>
    </w:p>
    <w:p w:rsidR="00762C45" w:rsidRDefault="00303B66">
      <w:pPr>
        <w:jc w:val="both"/>
        <w:rPr>
          <w:sz w:val="22"/>
          <w:szCs w:val="22"/>
        </w:rPr>
      </w:pPr>
      <w:r>
        <w:rPr>
          <w:sz w:val="22"/>
          <w:szCs w:val="22"/>
        </w:rPr>
        <w:t xml:space="preserve">                                                                                                                                                                                                                                                                                                                                                                                                                                                                                                                                                                        </w:t>
      </w:r>
    </w:p>
    <w:p w:rsidR="00762C45" w:rsidRDefault="00303B66">
      <w:pPr>
        <w:pStyle w:val="Estilo20"/>
        <w:tabs>
          <w:tab w:val="left" w:pos="426"/>
        </w:tabs>
      </w:pPr>
      <w:bookmarkStart w:id="62" w:name="_Toc474391201"/>
      <w:bookmarkEnd w:id="62"/>
      <w:r>
        <w:t>4.1.</w:t>
      </w:r>
      <w:r>
        <w:tab/>
        <w:t>Política de Formação e Capacitação do Corpo Docente</w:t>
      </w:r>
    </w:p>
    <w:p w:rsidR="00762C45" w:rsidRDefault="00762C45">
      <w:pPr>
        <w:tabs>
          <w:tab w:val="left" w:pos="230"/>
          <w:tab w:val="left" w:pos="569"/>
        </w:tabs>
        <w:jc w:val="both"/>
        <w:rPr>
          <w:b/>
          <w:bCs/>
          <w:color w:val="FF0000"/>
          <w:sz w:val="22"/>
          <w:szCs w:val="22"/>
        </w:rPr>
      </w:pPr>
    </w:p>
    <w:p w:rsidR="00762C45" w:rsidRDefault="00303B66">
      <w:pPr>
        <w:tabs>
          <w:tab w:val="left" w:pos="230"/>
          <w:tab w:val="left" w:pos="569"/>
        </w:tabs>
        <w:ind w:firstLine="567"/>
        <w:jc w:val="both"/>
        <w:rPr>
          <w:bCs/>
          <w:sz w:val="22"/>
          <w:szCs w:val="22"/>
        </w:rPr>
      </w:pPr>
      <w:r>
        <w:rPr>
          <w:bCs/>
          <w:sz w:val="22"/>
          <w:szCs w:val="22"/>
        </w:rPr>
        <w:t xml:space="preserve">A formação do quadro docente do </w:t>
      </w:r>
      <w:r>
        <w:rPr>
          <w:bCs/>
          <w:i/>
          <w:sz w:val="22"/>
          <w:szCs w:val="22"/>
        </w:rPr>
        <w:t>Campus</w:t>
      </w:r>
      <w:r>
        <w:rPr>
          <w:bCs/>
          <w:sz w:val="22"/>
          <w:szCs w:val="22"/>
        </w:rPr>
        <w:t xml:space="preserve"> Avançado Vigia vem ocorrendo de forma gradual e evolutiva a partir das demandas identificadas pelos cursos ora ministrados e também levando em consideração o quantitativo máximo de 20 (vinte) docentes estabelecidos pelo MEC para os </w:t>
      </w:r>
      <w:r>
        <w:rPr>
          <w:bCs/>
          <w:i/>
          <w:sz w:val="22"/>
          <w:szCs w:val="22"/>
        </w:rPr>
        <w:t>campi</w:t>
      </w:r>
      <w:r>
        <w:rPr>
          <w:bCs/>
          <w:sz w:val="22"/>
          <w:szCs w:val="22"/>
        </w:rPr>
        <w:t xml:space="preserve"> avançados e a relação Aluno/Professor.  </w:t>
      </w:r>
    </w:p>
    <w:p w:rsidR="00762C45" w:rsidRDefault="00303B66">
      <w:pPr>
        <w:tabs>
          <w:tab w:val="left" w:pos="230"/>
          <w:tab w:val="left" w:pos="569"/>
        </w:tabs>
        <w:ind w:firstLine="567"/>
        <w:jc w:val="both"/>
        <w:rPr>
          <w:bCs/>
          <w:sz w:val="22"/>
          <w:szCs w:val="22"/>
        </w:rPr>
      </w:pPr>
      <w:r>
        <w:rPr>
          <w:bCs/>
          <w:sz w:val="22"/>
          <w:szCs w:val="22"/>
        </w:rPr>
        <w:t xml:space="preserve">Pelo Plano de Qualificação Institucional deve ser assegurada a programação de liberação para os cursos de mestrado e doutorado estabelecendo-se vários critérios como, por exemplo, tempo de efetivo exercício, avaliação do estágio probatório, existência de vagas de professor substituto para garantir as aulas dos docentes liberados para os cursos </w:t>
      </w:r>
      <w:r>
        <w:rPr>
          <w:bCs/>
          <w:i/>
          <w:sz w:val="22"/>
          <w:szCs w:val="22"/>
        </w:rPr>
        <w:t>stricto sensu</w:t>
      </w:r>
      <w:r>
        <w:rPr>
          <w:bCs/>
          <w:sz w:val="22"/>
          <w:szCs w:val="22"/>
        </w:rPr>
        <w:t>, entre outros.</w:t>
      </w:r>
    </w:p>
    <w:p w:rsidR="00762C45" w:rsidRDefault="00762C45">
      <w:pPr>
        <w:tabs>
          <w:tab w:val="left" w:pos="230"/>
          <w:tab w:val="left" w:pos="569"/>
        </w:tabs>
        <w:jc w:val="both"/>
        <w:rPr>
          <w:b/>
          <w:bCs/>
          <w:color w:val="FF0000"/>
          <w:sz w:val="22"/>
          <w:szCs w:val="22"/>
        </w:rPr>
      </w:pPr>
    </w:p>
    <w:p w:rsidR="00762C45" w:rsidRDefault="00303B66">
      <w:pPr>
        <w:pStyle w:val="Estilo3"/>
      </w:pPr>
      <w:bookmarkStart w:id="63" w:name="_Toc474391202"/>
      <w:bookmarkEnd w:id="63"/>
      <w:r>
        <w:t>4.1.1. Participação em eventos científicos/técnicos/culturais</w:t>
      </w:r>
    </w:p>
    <w:p w:rsidR="00762C45" w:rsidRDefault="00762C45">
      <w:pPr>
        <w:jc w:val="both"/>
        <w:rPr>
          <w:sz w:val="22"/>
          <w:szCs w:val="22"/>
        </w:rPr>
      </w:pPr>
    </w:p>
    <w:p w:rsidR="00762C45" w:rsidRDefault="00303B66">
      <w:pPr>
        <w:ind w:firstLine="567"/>
        <w:jc w:val="both"/>
        <w:rPr>
          <w:sz w:val="22"/>
          <w:szCs w:val="22"/>
        </w:rPr>
      </w:pPr>
      <w:r>
        <w:rPr>
          <w:sz w:val="22"/>
          <w:szCs w:val="22"/>
        </w:rPr>
        <w:t>Pretende-se publicar os trabalhos do CAV em Congressos, Simpósios, Encontros e Seminários locais, regionais, estaduais, nacionais e internacionais. Devido ao fato destes eventos serem itinerantes, a precisão de local de publicação é dificultada. Contudo, podemos listar nomes de alguns dos pretensos eventos:</w:t>
      </w:r>
    </w:p>
    <w:p w:rsidR="00762C45" w:rsidRDefault="00303B66">
      <w:pPr>
        <w:jc w:val="both"/>
        <w:rPr>
          <w:bCs/>
          <w:color w:val="000000"/>
          <w:sz w:val="22"/>
          <w:szCs w:val="22"/>
          <w:highlight w:val="white"/>
        </w:rPr>
      </w:pPr>
      <w:r>
        <w:rPr>
          <w:bCs/>
          <w:color w:val="000000"/>
          <w:sz w:val="22"/>
          <w:szCs w:val="22"/>
          <w:shd w:val="clear" w:color="auto" w:fill="FFFFFF"/>
        </w:rPr>
        <w:t>Reuniões dos Dirigentes da Rede Federal de Educação Profissional e Tecnológica – REDITEC;</w:t>
      </w:r>
    </w:p>
    <w:p w:rsidR="00762C45" w:rsidRDefault="00303B66">
      <w:pPr>
        <w:jc w:val="both"/>
        <w:rPr>
          <w:sz w:val="22"/>
          <w:szCs w:val="22"/>
        </w:rPr>
      </w:pPr>
      <w:r>
        <w:rPr>
          <w:bCs/>
          <w:color w:val="000000"/>
          <w:sz w:val="22"/>
          <w:szCs w:val="22"/>
          <w:shd w:val="clear" w:color="auto" w:fill="FFFFFF"/>
        </w:rPr>
        <w:t>Seminário de Iniciação, Científica Tecnológica e Inovação - SICTI</w:t>
      </w:r>
      <w:r>
        <w:rPr>
          <w:sz w:val="22"/>
          <w:szCs w:val="22"/>
        </w:rPr>
        <w:t>;</w:t>
      </w:r>
    </w:p>
    <w:p w:rsidR="00762C45" w:rsidRDefault="00303B66">
      <w:pPr>
        <w:jc w:val="both"/>
        <w:rPr>
          <w:sz w:val="22"/>
          <w:szCs w:val="22"/>
        </w:rPr>
      </w:pPr>
      <w:r>
        <w:rPr>
          <w:sz w:val="22"/>
          <w:szCs w:val="22"/>
        </w:rPr>
        <w:t>Congresso Brasileiro de Oceanografia – CBO;</w:t>
      </w:r>
    </w:p>
    <w:p w:rsidR="00762C45" w:rsidRDefault="00303B66">
      <w:pPr>
        <w:jc w:val="both"/>
        <w:rPr>
          <w:sz w:val="22"/>
          <w:szCs w:val="22"/>
        </w:rPr>
      </w:pPr>
      <w:r>
        <w:rPr>
          <w:sz w:val="22"/>
          <w:szCs w:val="22"/>
        </w:rPr>
        <w:t>Semana Nacional de Oceanografia – SNO;</w:t>
      </w:r>
    </w:p>
    <w:p w:rsidR="00762C45" w:rsidRDefault="00303B66">
      <w:pPr>
        <w:jc w:val="both"/>
        <w:rPr>
          <w:sz w:val="22"/>
          <w:szCs w:val="22"/>
        </w:rPr>
      </w:pPr>
      <w:r>
        <w:rPr>
          <w:sz w:val="22"/>
          <w:szCs w:val="22"/>
        </w:rPr>
        <w:t>Congresso Brasileiro de Biologia Marinha – CBBM;</w:t>
      </w:r>
    </w:p>
    <w:p w:rsidR="00762C45" w:rsidRDefault="00303B66">
      <w:pPr>
        <w:jc w:val="both"/>
        <w:rPr>
          <w:sz w:val="22"/>
          <w:szCs w:val="22"/>
        </w:rPr>
      </w:pPr>
      <w:r>
        <w:rPr>
          <w:sz w:val="22"/>
          <w:szCs w:val="22"/>
        </w:rPr>
        <w:t>Congresso Brasileiro de Ictiologia;</w:t>
      </w:r>
    </w:p>
    <w:p w:rsidR="00762C45" w:rsidRDefault="00303B66">
      <w:pPr>
        <w:jc w:val="both"/>
        <w:rPr>
          <w:sz w:val="22"/>
          <w:szCs w:val="22"/>
        </w:rPr>
      </w:pPr>
      <w:r>
        <w:rPr>
          <w:sz w:val="22"/>
          <w:szCs w:val="22"/>
        </w:rPr>
        <w:t>Congresso de Conservação Marinha – ConMar;</w:t>
      </w:r>
    </w:p>
    <w:p w:rsidR="00762C45" w:rsidRDefault="00303B66">
      <w:pPr>
        <w:jc w:val="both"/>
        <w:rPr>
          <w:sz w:val="22"/>
          <w:szCs w:val="22"/>
        </w:rPr>
      </w:pPr>
      <w:r>
        <w:rPr>
          <w:sz w:val="22"/>
          <w:szCs w:val="22"/>
        </w:rPr>
        <w:t>Congresso Brasileiro de Agroecologia – CBA;</w:t>
      </w:r>
    </w:p>
    <w:p w:rsidR="00762C45" w:rsidRDefault="00303B66">
      <w:pPr>
        <w:jc w:val="both"/>
        <w:rPr>
          <w:sz w:val="22"/>
          <w:szCs w:val="22"/>
        </w:rPr>
      </w:pPr>
      <w:r>
        <w:rPr>
          <w:sz w:val="22"/>
          <w:szCs w:val="22"/>
        </w:rPr>
        <w:t>Congresso Brasileiro de Engenharia de Pesca – CONBEP;</w:t>
      </w:r>
    </w:p>
    <w:p w:rsidR="00762C45" w:rsidRDefault="00303B66">
      <w:pPr>
        <w:jc w:val="both"/>
        <w:rPr>
          <w:sz w:val="22"/>
          <w:szCs w:val="22"/>
        </w:rPr>
      </w:pPr>
      <w:r>
        <w:rPr>
          <w:sz w:val="22"/>
          <w:szCs w:val="22"/>
        </w:rPr>
        <w:t>Simpósio Brasileiro de Etnobiologia e Etnoecologia – SBEE;</w:t>
      </w:r>
    </w:p>
    <w:p w:rsidR="00762C45" w:rsidRDefault="00303B66">
      <w:pPr>
        <w:jc w:val="both"/>
        <w:rPr>
          <w:sz w:val="22"/>
          <w:szCs w:val="22"/>
        </w:rPr>
      </w:pPr>
      <w:r>
        <w:rPr>
          <w:sz w:val="22"/>
          <w:szCs w:val="22"/>
        </w:rPr>
        <w:t>Seminário Internacional em Desenvolvimento Rural Sustentável, Cooperativismo e Economia Solidária;</w:t>
      </w:r>
    </w:p>
    <w:p w:rsidR="00762C45" w:rsidRDefault="00303B66">
      <w:pPr>
        <w:jc w:val="both"/>
        <w:rPr>
          <w:sz w:val="22"/>
          <w:szCs w:val="22"/>
        </w:rPr>
      </w:pPr>
      <w:r>
        <w:rPr>
          <w:sz w:val="22"/>
          <w:szCs w:val="22"/>
        </w:rPr>
        <w:lastRenderedPageBreak/>
        <w:t>Congresso Internacional de Etnobiologia e Etnoecologia</w:t>
      </w:r>
      <w:r>
        <w:rPr>
          <w:color w:val="FF0000"/>
          <w:sz w:val="22"/>
          <w:szCs w:val="22"/>
        </w:rPr>
        <w:t xml:space="preserve">; </w:t>
      </w:r>
    </w:p>
    <w:p w:rsidR="00762C45" w:rsidRDefault="00303B66">
      <w:pPr>
        <w:jc w:val="both"/>
        <w:rPr>
          <w:sz w:val="22"/>
          <w:szCs w:val="22"/>
        </w:rPr>
      </w:pPr>
      <w:r>
        <w:rPr>
          <w:sz w:val="22"/>
          <w:szCs w:val="22"/>
        </w:rPr>
        <w:t>Sociedade Brasileira de Computação (SBC) - Eventos Diversos;</w:t>
      </w:r>
    </w:p>
    <w:p w:rsidR="00762C45" w:rsidRDefault="00303B66">
      <w:pPr>
        <w:jc w:val="both"/>
        <w:rPr>
          <w:sz w:val="22"/>
          <w:szCs w:val="22"/>
        </w:rPr>
      </w:pPr>
      <w:r>
        <w:rPr>
          <w:sz w:val="22"/>
          <w:szCs w:val="22"/>
        </w:rPr>
        <w:t>Congresso da Sociedade Brasileira de Computação (CSBC);</w:t>
      </w:r>
    </w:p>
    <w:p w:rsidR="00762C45" w:rsidRDefault="00303B66">
      <w:pPr>
        <w:jc w:val="both"/>
        <w:rPr>
          <w:sz w:val="22"/>
          <w:szCs w:val="22"/>
        </w:rPr>
      </w:pPr>
      <w:r>
        <w:rPr>
          <w:sz w:val="22"/>
          <w:szCs w:val="22"/>
        </w:rPr>
        <w:t>Simpósio Brasileiro de Redes de Computadores e Sistemas Distribuídos (SBRC);</w:t>
      </w:r>
    </w:p>
    <w:p w:rsidR="00762C45" w:rsidRDefault="00303B66">
      <w:pPr>
        <w:jc w:val="both"/>
        <w:rPr>
          <w:sz w:val="22"/>
          <w:szCs w:val="22"/>
        </w:rPr>
      </w:pPr>
      <w:r>
        <w:rPr>
          <w:sz w:val="22"/>
          <w:szCs w:val="22"/>
        </w:rPr>
        <w:t>Simpósio Brasileiro de Telecomunicações (SbrT);</w:t>
      </w:r>
    </w:p>
    <w:p w:rsidR="00762C45" w:rsidRDefault="00303B66">
      <w:pPr>
        <w:jc w:val="both"/>
        <w:rPr>
          <w:sz w:val="22"/>
          <w:szCs w:val="22"/>
        </w:rPr>
      </w:pPr>
      <w:r>
        <w:rPr>
          <w:sz w:val="22"/>
          <w:szCs w:val="22"/>
        </w:rPr>
        <w:t>Congresso Brasileiro de Estudos do Lazer;</w:t>
      </w:r>
    </w:p>
    <w:p w:rsidR="00762C45" w:rsidRDefault="00303B66">
      <w:pPr>
        <w:jc w:val="both"/>
        <w:rPr>
          <w:sz w:val="22"/>
          <w:szCs w:val="22"/>
        </w:rPr>
      </w:pPr>
      <w:r>
        <w:rPr>
          <w:sz w:val="22"/>
          <w:szCs w:val="22"/>
        </w:rPr>
        <w:t>Encontro Nacional de Turismo de Base Local;</w:t>
      </w:r>
    </w:p>
    <w:p w:rsidR="00762C45" w:rsidRDefault="00303B66">
      <w:pPr>
        <w:jc w:val="both"/>
        <w:rPr>
          <w:sz w:val="22"/>
          <w:szCs w:val="22"/>
        </w:rPr>
      </w:pPr>
      <w:r>
        <w:rPr>
          <w:sz w:val="22"/>
          <w:szCs w:val="22"/>
        </w:rPr>
        <w:t>Associação Nacional de Pesquisa e Pós-Graduação em Turismo.</w:t>
      </w:r>
    </w:p>
    <w:p w:rsidR="00762C45" w:rsidRDefault="00303B66">
      <w:pPr>
        <w:jc w:val="both"/>
        <w:rPr>
          <w:sz w:val="22"/>
          <w:szCs w:val="22"/>
        </w:rPr>
      </w:pPr>
      <w:r>
        <w:rPr>
          <w:sz w:val="22"/>
          <w:szCs w:val="22"/>
        </w:rPr>
        <w:t>As revistas para publicação serão as revistas com Qualis nas áreas de Ciências Agrárias ou Informática ou Turismo ou Interdisciplinar ou Educação ou Recursos Pesqueiros.</w:t>
      </w:r>
    </w:p>
    <w:p w:rsidR="00762C45" w:rsidRDefault="00762C45">
      <w:pPr>
        <w:jc w:val="both"/>
        <w:rPr>
          <w:sz w:val="22"/>
          <w:szCs w:val="22"/>
        </w:rPr>
      </w:pPr>
    </w:p>
    <w:p w:rsidR="00762C45" w:rsidRDefault="00303B66">
      <w:pPr>
        <w:pStyle w:val="Estilo3"/>
      </w:pPr>
      <w:bookmarkStart w:id="64" w:name="_Toc474391203"/>
      <w:bookmarkEnd w:id="64"/>
      <w:r>
        <w:t>4.1.2 Capacitação</w:t>
      </w:r>
    </w:p>
    <w:p w:rsidR="00762C45" w:rsidRDefault="00762C45">
      <w:pPr>
        <w:jc w:val="both"/>
        <w:rPr>
          <w:sz w:val="22"/>
          <w:szCs w:val="22"/>
        </w:rPr>
      </w:pPr>
    </w:p>
    <w:p w:rsidR="00762C45" w:rsidRDefault="00303B66">
      <w:pPr>
        <w:ind w:firstLine="567"/>
        <w:jc w:val="both"/>
        <w:rPr>
          <w:sz w:val="22"/>
          <w:szCs w:val="22"/>
        </w:rPr>
      </w:pPr>
      <w:r>
        <w:rPr>
          <w:sz w:val="22"/>
          <w:szCs w:val="22"/>
        </w:rPr>
        <w:t>A Capacitação dos servidores do CAV se dará através de:</w:t>
      </w:r>
    </w:p>
    <w:p w:rsidR="00762C45" w:rsidRDefault="00303B66">
      <w:pPr>
        <w:jc w:val="both"/>
        <w:rPr>
          <w:sz w:val="22"/>
          <w:szCs w:val="22"/>
        </w:rPr>
      </w:pPr>
      <w:r>
        <w:rPr>
          <w:sz w:val="22"/>
          <w:szCs w:val="22"/>
        </w:rPr>
        <w:t>- Formação Continuada em Tema Gerador, realizada todo início de semestre;</w:t>
      </w:r>
    </w:p>
    <w:p w:rsidR="00762C45" w:rsidRDefault="00303B66">
      <w:pPr>
        <w:jc w:val="both"/>
        <w:rPr>
          <w:sz w:val="22"/>
          <w:szCs w:val="22"/>
        </w:rPr>
      </w:pPr>
      <w:r>
        <w:rPr>
          <w:sz w:val="22"/>
          <w:szCs w:val="22"/>
        </w:rPr>
        <w:t>- Curso de especialização para docentes que não possuem Licenciatura.</w:t>
      </w:r>
    </w:p>
    <w:p w:rsidR="00762C45" w:rsidRDefault="00762C45">
      <w:pPr>
        <w:ind w:hanging="495"/>
        <w:jc w:val="both"/>
        <w:rPr>
          <w:b/>
          <w:bCs/>
          <w:sz w:val="22"/>
          <w:szCs w:val="22"/>
        </w:rPr>
      </w:pPr>
    </w:p>
    <w:p w:rsidR="00762C45" w:rsidRDefault="00303B66">
      <w:pPr>
        <w:pStyle w:val="Estilo3"/>
      </w:pPr>
      <w:bookmarkStart w:id="65" w:name="_Toc474391204"/>
      <w:bookmarkEnd w:id="65"/>
      <w:r>
        <w:t>4.1.3 Qualificação</w:t>
      </w:r>
    </w:p>
    <w:p w:rsidR="00762C45" w:rsidRDefault="00762C45">
      <w:pPr>
        <w:ind w:firstLine="567"/>
        <w:jc w:val="both"/>
        <w:rPr>
          <w:sz w:val="22"/>
          <w:szCs w:val="22"/>
        </w:rPr>
      </w:pPr>
    </w:p>
    <w:p w:rsidR="00762C45" w:rsidRDefault="00303B66">
      <w:pPr>
        <w:ind w:firstLine="567"/>
        <w:jc w:val="both"/>
        <w:rPr>
          <w:sz w:val="22"/>
          <w:szCs w:val="22"/>
        </w:rPr>
      </w:pPr>
      <w:r>
        <w:rPr>
          <w:sz w:val="22"/>
          <w:szCs w:val="22"/>
        </w:rPr>
        <w:t xml:space="preserve">O Plano Institucional de Qualificação (PIQ) do </w:t>
      </w:r>
      <w:r>
        <w:rPr>
          <w:i/>
          <w:sz w:val="22"/>
          <w:szCs w:val="22"/>
        </w:rPr>
        <w:t>Campus</w:t>
      </w:r>
      <w:r>
        <w:rPr>
          <w:sz w:val="22"/>
          <w:szCs w:val="22"/>
        </w:rPr>
        <w:t xml:space="preserve"> Avançado Vigia encerra sua vigência em setembro de 2016, devendo ser atualizado até o final deste ano, a fim de contemplar a necessidade de qualificação dos novos servidores que vêm sendo admitidos, como forma aprimorar os seus conhecimentos. Para tal deverão ser estabelecidos critérios e períodos de liberação para a realização de cursos de pós-graduação em níveis de especialização, mestrado e doutorado.</w:t>
      </w:r>
    </w:p>
    <w:p w:rsidR="00762C45" w:rsidRDefault="00762C45">
      <w:pPr>
        <w:jc w:val="both"/>
        <w:rPr>
          <w:b/>
          <w:bCs/>
          <w:sz w:val="22"/>
          <w:szCs w:val="22"/>
        </w:rPr>
      </w:pPr>
    </w:p>
    <w:p w:rsidR="00762C45" w:rsidRDefault="00303B66">
      <w:pPr>
        <w:pStyle w:val="Estilo20"/>
      </w:pPr>
      <w:bookmarkStart w:id="66" w:name="_Toc474391205"/>
      <w:bookmarkEnd w:id="66"/>
      <w:r>
        <w:t>4.2 Política de Formação e Capacitação do Corpo Técnico-Administrativo</w:t>
      </w:r>
    </w:p>
    <w:p w:rsidR="00762C45" w:rsidRDefault="00762C45">
      <w:pPr>
        <w:pStyle w:val="Estilo3"/>
      </w:pPr>
    </w:p>
    <w:p w:rsidR="00762C45" w:rsidRDefault="00303B66">
      <w:pPr>
        <w:pStyle w:val="Estilo3"/>
      </w:pPr>
      <w:bookmarkStart w:id="67" w:name="_Toc474391206"/>
      <w:bookmarkEnd w:id="67"/>
      <w:r>
        <w:t>4.2.1 Participação em eventos científicos/técnicos/culturais</w:t>
      </w:r>
    </w:p>
    <w:p w:rsidR="00762C45" w:rsidRDefault="00762C45">
      <w:pPr>
        <w:ind w:firstLine="567"/>
        <w:jc w:val="both"/>
        <w:rPr>
          <w:sz w:val="22"/>
          <w:szCs w:val="22"/>
        </w:rPr>
      </w:pPr>
    </w:p>
    <w:p w:rsidR="00762C45" w:rsidRDefault="00303B66">
      <w:pPr>
        <w:ind w:firstLine="567"/>
        <w:jc w:val="both"/>
        <w:rPr>
          <w:sz w:val="22"/>
          <w:szCs w:val="22"/>
        </w:rPr>
      </w:pPr>
      <w:r>
        <w:rPr>
          <w:sz w:val="22"/>
          <w:szCs w:val="22"/>
        </w:rPr>
        <w:t xml:space="preserve">Dentro das disponibilidades financeiras do </w:t>
      </w:r>
      <w:r>
        <w:rPr>
          <w:i/>
          <w:sz w:val="22"/>
          <w:szCs w:val="22"/>
        </w:rPr>
        <w:t>camp</w:t>
      </w:r>
      <w:r>
        <w:rPr>
          <w:sz w:val="22"/>
          <w:szCs w:val="22"/>
        </w:rPr>
        <w:t>us, os servidores técnico-administrativos podem ser liberados para participarem de eventos científicos, técnicos e culturais com concessão de diárias e passagens.</w:t>
      </w:r>
    </w:p>
    <w:p w:rsidR="00762C45" w:rsidRDefault="00762C45">
      <w:pPr>
        <w:pStyle w:val="Ttulo1"/>
        <w:widowControl/>
        <w:spacing w:line="276" w:lineRule="auto"/>
        <w:jc w:val="both"/>
        <w:rPr>
          <w:b/>
          <w:sz w:val="22"/>
          <w:szCs w:val="22"/>
        </w:rPr>
      </w:pPr>
    </w:p>
    <w:p w:rsidR="00762C45" w:rsidRDefault="00303B66">
      <w:pPr>
        <w:pStyle w:val="Estilo3"/>
      </w:pPr>
      <w:bookmarkStart w:id="68" w:name="_Toc474391207"/>
      <w:r>
        <w:t>4.2.2 Capacitação</w:t>
      </w:r>
      <w:bookmarkEnd w:id="68"/>
      <w:r>
        <w:t xml:space="preserve"> </w:t>
      </w:r>
    </w:p>
    <w:p w:rsidR="00762C45" w:rsidRDefault="00762C45">
      <w:pPr>
        <w:ind w:firstLine="567"/>
        <w:jc w:val="both"/>
        <w:rPr>
          <w:sz w:val="22"/>
          <w:szCs w:val="22"/>
        </w:rPr>
      </w:pPr>
    </w:p>
    <w:p w:rsidR="00762C45" w:rsidRDefault="00303B66">
      <w:pPr>
        <w:ind w:firstLine="567"/>
        <w:jc w:val="both"/>
        <w:rPr>
          <w:rFonts w:eastAsia="Times New Roman"/>
          <w:sz w:val="22"/>
          <w:szCs w:val="22"/>
        </w:rPr>
      </w:pPr>
      <w:r>
        <w:rPr>
          <w:sz w:val="22"/>
          <w:szCs w:val="22"/>
        </w:rPr>
        <w:t xml:space="preserve">O CAV promove </w:t>
      </w:r>
      <w:r>
        <w:rPr>
          <w:rFonts w:eastAsia="Times New Roman"/>
          <w:sz w:val="22"/>
          <w:szCs w:val="22"/>
        </w:rPr>
        <w:t xml:space="preserve">a participação dos servidores em treinamentos específicos de acordo com as suas áreas de atuação a fim de aprimorar os seus conhecimentos para o exercício das suas atividades funcionais com mais eficiência e eficácia. </w:t>
      </w:r>
    </w:p>
    <w:p w:rsidR="00762C45" w:rsidRDefault="00303B66">
      <w:pPr>
        <w:ind w:firstLine="567"/>
        <w:jc w:val="both"/>
        <w:rPr>
          <w:sz w:val="22"/>
          <w:szCs w:val="22"/>
        </w:rPr>
      </w:pPr>
      <w:r>
        <w:rPr>
          <w:rFonts w:eastAsia="Times New Roman"/>
          <w:sz w:val="22"/>
          <w:szCs w:val="22"/>
        </w:rPr>
        <w:t>Participam de cursos coordenados pelas Diretorias de Gestão de Pessoas e de Tecnologia da Informação, Pró-reitorias de Desenvolvimento Institucional, de Administração e Planejamento, entre outras unidades que compõem a Reitoria do IFPA, destacando-se também os cursos ofertados em parceria com a Escola Nacional de Administração Pública (ENAP).</w:t>
      </w:r>
    </w:p>
    <w:p w:rsidR="00762C45" w:rsidRDefault="00762C45">
      <w:pPr>
        <w:tabs>
          <w:tab w:val="left" w:pos="1941"/>
        </w:tabs>
        <w:rPr>
          <w:b/>
          <w:sz w:val="22"/>
          <w:szCs w:val="22"/>
        </w:rPr>
      </w:pPr>
    </w:p>
    <w:p w:rsidR="00762C45" w:rsidRDefault="00303B66">
      <w:pPr>
        <w:pStyle w:val="Estilo3"/>
      </w:pPr>
      <w:bookmarkStart w:id="69" w:name="_Toc474391208"/>
      <w:bookmarkEnd w:id="69"/>
      <w:r>
        <w:t>4.2.3 Qualificação acadêmica e a devida divulgação das ações com os técnicos administrativos</w:t>
      </w:r>
    </w:p>
    <w:p w:rsidR="00762C45" w:rsidRDefault="00762C45">
      <w:pPr>
        <w:rPr>
          <w:b/>
          <w:color w:val="FF0000"/>
          <w:sz w:val="22"/>
          <w:szCs w:val="22"/>
        </w:rPr>
      </w:pPr>
    </w:p>
    <w:p w:rsidR="00762C45" w:rsidRDefault="00303B66">
      <w:pPr>
        <w:ind w:firstLine="567"/>
        <w:jc w:val="both"/>
        <w:rPr>
          <w:sz w:val="22"/>
          <w:szCs w:val="22"/>
        </w:rPr>
      </w:pPr>
      <w:r>
        <w:rPr>
          <w:sz w:val="22"/>
          <w:szCs w:val="22"/>
        </w:rPr>
        <w:t xml:space="preserve">A qualificação acadêmica é vista pelo </w:t>
      </w:r>
      <w:r>
        <w:rPr>
          <w:i/>
          <w:sz w:val="22"/>
          <w:szCs w:val="22"/>
        </w:rPr>
        <w:t>Campus</w:t>
      </w:r>
      <w:r>
        <w:rPr>
          <w:sz w:val="22"/>
          <w:szCs w:val="22"/>
        </w:rPr>
        <w:t xml:space="preserve"> Avançado Vigia como uma oportunidade de crescimento do servidor técnico-administrativo na sua vida profissional, sempre na perspectiva de alcançar maiores níveis de escolaridade e de qualificação. </w:t>
      </w:r>
    </w:p>
    <w:p w:rsidR="00762C45" w:rsidRDefault="00303B66">
      <w:pPr>
        <w:ind w:firstLine="567"/>
        <w:jc w:val="both"/>
        <w:rPr>
          <w:sz w:val="22"/>
          <w:szCs w:val="22"/>
        </w:rPr>
      </w:pPr>
      <w:r>
        <w:rPr>
          <w:sz w:val="22"/>
          <w:szCs w:val="22"/>
        </w:rPr>
        <w:t xml:space="preserve">Com muita frequência, servidores recém-admitidos através de concurso público vêm realizando cursos de graduação ou de pós-graduação e solicitam horário especial de trabalho para dar continuidade aos seus estudos, o que é prontamente aceito pela gestão do </w:t>
      </w:r>
      <w:r>
        <w:rPr>
          <w:i/>
          <w:sz w:val="22"/>
          <w:szCs w:val="22"/>
        </w:rPr>
        <w:t>campus,</w:t>
      </w:r>
      <w:r>
        <w:rPr>
          <w:sz w:val="22"/>
          <w:szCs w:val="22"/>
        </w:rPr>
        <w:t xml:space="preserve"> até porque estão respaldados pela legislação em vigor que garante essa flexibilidade de horário com posterior compensação desse tempo dedicado aos estudos.</w:t>
      </w:r>
    </w:p>
    <w:p w:rsidR="00762C45" w:rsidRDefault="00762C45">
      <w:pPr>
        <w:rPr>
          <w:b/>
          <w:color w:val="FF0000"/>
          <w:sz w:val="22"/>
          <w:szCs w:val="22"/>
        </w:rPr>
      </w:pPr>
    </w:p>
    <w:p w:rsidR="00762C45" w:rsidRDefault="00303B66">
      <w:pPr>
        <w:pStyle w:val="Estilo20"/>
      </w:pPr>
      <w:bookmarkStart w:id="70" w:name="_Toc474391209"/>
      <w:bookmarkEnd w:id="70"/>
      <w:r>
        <w:t>4.3. Gestão Institucional</w:t>
      </w:r>
    </w:p>
    <w:p w:rsidR="00762C45" w:rsidRDefault="00762C45">
      <w:pPr>
        <w:pStyle w:val="Ttulo1"/>
        <w:widowControl/>
        <w:tabs>
          <w:tab w:val="left" w:pos="284"/>
        </w:tabs>
        <w:jc w:val="both"/>
        <w:rPr>
          <w:b/>
          <w:sz w:val="20"/>
          <w:szCs w:val="20"/>
        </w:rPr>
      </w:pPr>
    </w:p>
    <w:p w:rsidR="00762C45" w:rsidRDefault="00303B66">
      <w:pPr>
        <w:pStyle w:val="Estilo3"/>
      </w:pPr>
      <w:bookmarkStart w:id="71" w:name="_Toc474391210"/>
      <w:bookmarkEnd w:id="71"/>
      <w:r>
        <w:t>4.3.1 Estrutura Organizacional e Administrativa do Campus</w:t>
      </w:r>
    </w:p>
    <w:p w:rsidR="00762C45" w:rsidRDefault="00762C45">
      <w:pPr>
        <w:ind w:firstLine="567"/>
        <w:jc w:val="both"/>
        <w:rPr>
          <w:sz w:val="20"/>
          <w:szCs w:val="20"/>
        </w:rPr>
      </w:pPr>
    </w:p>
    <w:p w:rsidR="00762C45" w:rsidRDefault="00303B66">
      <w:pPr>
        <w:ind w:firstLine="567"/>
        <w:jc w:val="both"/>
        <w:rPr>
          <w:sz w:val="22"/>
          <w:szCs w:val="22"/>
        </w:rPr>
      </w:pPr>
      <w:r>
        <w:rPr>
          <w:sz w:val="22"/>
          <w:szCs w:val="22"/>
        </w:rPr>
        <w:t xml:space="preserve">Para o funcionamento dos </w:t>
      </w:r>
      <w:r>
        <w:rPr>
          <w:i/>
          <w:sz w:val="22"/>
          <w:szCs w:val="22"/>
        </w:rPr>
        <w:t>campi</w:t>
      </w:r>
      <w:r>
        <w:rPr>
          <w:sz w:val="22"/>
          <w:szCs w:val="22"/>
        </w:rPr>
        <w:t xml:space="preserve"> novos, o Conselho Superior (CONSUP) do IFPA estabeleceu uma estrutura orgânica básica que possibilita condições mínimas para o funcionamento dessas unidades gestoras, a fim de atender as suas atividades acadêmicas e administrativas. Nesse contexto o </w:t>
      </w:r>
      <w:r>
        <w:rPr>
          <w:i/>
          <w:sz w:val="22"/>
          <w:szCs w:val="22"/>
        </w:rPr>
        <w:t>Campus</w:t>
      </w:r>
      <w:r>
        <w:rPr>
          <w:sz w:val="22"/>
          <w:szCs w:val="22"/>
        </w:rPr>
        <w:t xml:space="preserve"> Avançado Vigia se inclui e, para tal, elaborou o seu organograma contendo as suas áreas mais relevantes de governança. </w:t>
      </w:r>
    </w:p>
    <w:p w:rsidR="00762C45" w:rsidRDefault="00303B66">
      <w:pPr>
        <w:ind w:firstLine="567"/>
        <w:jc w:val="both"/>
        <w:rPr>
          <w:sz w:val="22"/>
          <w:szCs w:val="22"/>
        </w:rPr>
      </w:pPr>
      <w:r>
        <w:rPr>
          <w:sz w:val="22"/>
          <w:szCs w:val="22"/>
        </w:rPr>
        <w:t xml:space="preserve">Por essa estrutura a Direção Geral se vincula diretamente ao Reitor e tem como principais macroprocessos finalísticos a ela vinculada as áreas do ensino, pesquisa e extensão, compondo a Diretoria de Ensino (DE) a qual se encontram vinculadas as Coordenações de cursos, Pesquisa e Extensão e Assistência Estudantil, além da Secretaria Acadêmica e Biblioteca. </w:t>
      </w:r>
    </w:p>
    <w:p w:rsidR="00762C45" w:rsidRDefault="00303B66">
      <w:pPr>
        <w:ind w:firstLine="567"/>
        <w:jc w:val="both"/>
        <w:rPr>
          <w:sz w:val="22"/>
          <w:szCs w:val="22"/>
        </w:rPr>
      </w:pPr>
      <w:r>
        <w:rPr>
          <w:sz w:val="22"/>
          <w:szCs w:val="22"/>
        </w:rPr>
        <w:t xml:space="preserve">Vinculados à Direção Geral se encontram também a Coordenação de Tecnologia da Informação que dá suporte nessa área a todo o </w:t>
      </w:r>
      <w:r>
        <w:rPr>
          <w:i/>
          <w:sz w:val="22"/>
          <w:szCs w:val="22"/>
        </w:rPr>
        <w:t>campus</w:t>
      </w:r>
      <w:r>
        <w:rPr>
          <w:sz w:val="22"/>
          <w:szCs w:val="22"/>
        </w:rPr>
        <w:t xml:space="preserve">, a Secretaria e os Núcleos de Comunicação e Marketing e de Esporte, Cultura e Lazer. </w:t>
      </w:r>
    </w:p>
    <w:p w:rsidR="00762C45" w:rsidRDefault="00303B66">
      <w:pPr>
        <w:ind w:firstLine="567"/>
        <w:jc w:val="both"/>
      </w:pPr>
      <w:r>
        <w:rPr>
          <w:sz w:val="22"/>
          <w:szCs w:val="22"/>
        </w:rPr>
        <w:t xml:space="preserve">Embora a Diretoria de Administração e Planejamento (DAP) ainda não esteja incluída no organograma do </w:t>
      </w:r>
      <w:r>
        <w:rPr>
          <w:i/>
          <w:sz w:val="22"/>
          <w:szCs w:val="22"/>
        </w:rPr>
        <w:t xml:space="preserve">Campus </w:t>
      </w:r>
      <w:r>
        <w:rPr>
          <w:sz w:val="22"/>
          <w:szCs w:val="22"/>
        </w:rPr>
        <w:t xml:space="preserve">Avançado Vigia, ela está prevista na sua estrutura organizacional devido a necessidade premente da sua implantação e deverá ser constituída pelas coordenações de Recursos Humanos, Orçamento e Finanças, Contratos e Convênios e Infraestrutura e Serviços. A Figura 1 e o Quadro 8 a seguir apresentados esquematizam a Estrutura Organizacional atual do </w:t>
      </w:r>
      <w:r>
        <w:rPr>
          <w:i/>
          <w:iCs/>
          <w:sz w:val="22"/>
          <w:szCs w:val="22"/>
        </w:rPr>
        <w:t xml:space="preserve">Campus </w:t>
      </w:r>
      <w:r>
        <w:rPr>
          <w:sz w:val="22"/>
          <w:szCs w:val="22"/>
        </w:rPr>
        <w:t>Avançado Vigia.</w:t>
      </w:r>
    </w:p>
    <w:p w:rsidR="00762C45" w:rsidRDefault="00303B66">
      <w:pPr>
        <w:widowControl/>
        <w:tabs>
          <w:tab w:val="left" w:pos="284"/>
        </w:tabs>
        <w:jc w:val="both"/>
        <w:rPr>
          <w:sz w:val="22"/>
          <w:szCs w:val="22"/>
        </w:rPr>
      </w:pPr>
      <w:r>
        <w:rPr>
          <w:noProof/>
          <w:sz w:val="22"/>
          <w:szCs w:val="22"/>
        </w:rPr>
        <mc:AlternateContent>
          <mc:Choice Requires="wps">
            <w:drawing>
              <wp:anchor distT="0" distB="0" distL="114300" distR="114300" simplePos="0" relativeHeight="7" behindDoc="0" locked="0" layoutInCell="1" allowOverlap="1">
                <wp:simplePos x="0" y="0"/>
                <wp:positionH relativeFrom="column">
                  <wp:posOffset>1490980</wp:posOffset>
                </wp:positionH>
                <wp:positionV relativeFrom="paragraph">
                  <wp:posOffset>1538605</wp:posOffset>
                </wp:positionV>
                <wp:extent cx="5715" cy="5715"/>
                <wp:effectExtent l="0" t="0" r="19050" b="26670"/>
                <wp:wrapNone/>
                <wp:docPr id="12" name="Conector reto 41"/>
                <wp:cNvGraphicFramePr/>
                <a:graphic xmlns:a="http://schemas.openxmlformats.org/drawingml/2006/main">
                  <a:graphicData uri="http://schemas.microsoft.com/office/word/2010/wordprocessingShape">
                    <wps:wsp>
                      <wps:cNvCnPr/>
                      <wps:spPr>
                        <a:xfrm flipH="1">
                          <a:off x="0" y="0"/>
                          <a:ext cx="5760" cy="5760"/>
                        </a:xfrm>
                        <a:prstGeom prst="line">
                          <a:avLst/>
                        </a:prstGeom>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17.35pt,121.1pt" to="117.75pt,121.5pt" ID="Conector reto 41" stroked="t" style="position:absolute;flip:x">
                <v:stroke color="#5b9bd5" weight="6480" joinstyle="miter" endcap="flat"/>
                <v:fill o:detectmouseclick="t" on="false"/>
              </v:line>
            </w:pict>
          </mc:Fallback>
        </mc:AlternateContent>
      </w:r>
    </w:p>
    <w:p w:rsidR="00762C45" w:rsidRDefault="00762C45">
      <w:pPr>
        <w:widowControl/>
        <w:tabs>
          <w:tab w:val="left" w:pos="284"/>
        </w:tabs>
        <w:jc w:val="both"/>
      </w:pPr>
    </w:p>
    <w:p w:rsidR="00762C45" w:rsidRDefault="00762C45">
      <w:pPr>
        <w:widowControl/>
        <w:tabs>
          <w:tab w:val="left" w:pos="284"/>
        </w:tabs>
        <w:jc w:val="both"/>
      </w:pPr>
    </w:p>
    <w:p w:rsidR="00762C45" w:rsidRDefault="00762C45">
      <w:pPr>
        <w:widowControl/>
        <w:tabs>
          <w:tab w:val="left" w:pos="284"/>
        </w:tabs>
        <w:jc w:val="both"/>
        <w:rPr>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303B66">
      <w:pPr>
        <w:widowControl/>
        <w:tabs>
          <w:tab w:val="left" w:pos="284"/>
          <w:tab w:val="center" w:pos="5323"/>
          <w:tab w:val="left" w:pos="8655"/>
        </w:tabs>
        <w:spacing w:line="276" w:lineRule="auto"/>
        <w:jc w:val="center"/>
        <w:rPr>
          <w:b/>
          <w:sz w:val="22"/>
          <w:szCs w:val="22"/>
        </w:rPr>
      </w:pPr>
      <w:r>
        <w:rPr>
          <w:b/>
          <w:noProof/>
          <w:sz w:val="22"/>
          <w:szCs w:val="22"/>
        </w:rPr>
        <mc:AlternateContent>
          <mc:Choice Requires="wpg">
            <w:drawing>
              <wp:anchor distT="0" distB="0" distL="0" distR="0" simplePos="0" relativeHeight="8" behindDoc="0" locked="0" layoutInCell="1" allowOverlap="1" wp14:anchorId="641232FE">
                <wp:simplePos x="0" y="0"/>
                <wp:positionH relativeFrom="column">
                  <wp:posOffset>71120</wp:posOffset>
                </wp:positionH>
                <wp:positionV relativeFrom="paragraph">
                  <wp:posOffset>31115</wp:posOffset>
                </wp:positionV>
                <wp:extent cx="6312535" cy="4444365"/>
                <wp:effectExtent l="0" t="0" r="14605" b="16510"/>
                <wp:wrapNone/>
                <wp:docPr id="13" name="Forma2"/>
                <wp:cNvGraphicFramePr/>
                <a:graphic xmlns:a="http://schemas.openxmlformats.org/drawingml/2006/main">
                  <a:graphicData uri="http://schemas.microsoft.com/office/word/2010/wordprocessingGroup">
                    <wpg:wgp>
                      <wpg:cNvGrpSpPr/>
                      <wpg:grpSpPr>
                        <a:xfrm>
                          <a:off x="0" y="0"/>
                          <a:ext cx="6311880" cy="4443840"/>
                          <a:chOff x="0" y="0"/>
                          <a:chExt cx="0" cy="0"/>
                        </a:xfrm>
                      </wpg:grpSpPr>
                      <wps:wsp>
                        <wps:cNvPr id="14" name="Retângulo de cantos arredondados 14"/>
                        <wps:cNvSpPr/>
                        <wps:spPr>
                          <a:xfrm>
                            <a:off x="2084760" y="0"/>
                            <a:ext cx="2077560" cy="529560"/>
                          </a:xfrm>
                          <a:prstGeom prst="roundRect">
                            <a:avLst>
                              <a:gd name="adj" fmla="val 16667"/>
                            </a:avLst>
                          </a:prstGeom>
                          <a:solidFill>
                            <a:srgbClr val="00B050"/>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REITORIA</w:t>
                              </w:r>
                            </w:p>
                          </w:txbxContent>
                        </wps:txbx>
                        <wps:bodyPr lIns="90000" tIns="45000" rIns="90000" bIns="45000" anchor="ctr">
                          <a:noAutofit/>
                        </wps:bodyPr>
                      </wps:wsp>
                      <wps:wsp>
                        <wps:cNvPr id="15" name="Conector reto 15"/>
                        <wps:cNvCnPr/>
                        <wps:spPr>
                          <a:xfrm>
                            <a:off x="3344040" y="3129120"/>
                            <a:ext cx="72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16" name="Conector reto 16"/>
                        <wps:cNvCnPr/>
                        <wps:spPr>
                          <a:xfrm>
                            <a:off x="1149840" y="2741400"/>
                            <a:ext cx="72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17" name="Retângulo de cantos arredondados 17"/>
                        <wps:cNvSpPr/>
                        <wps:spPr>
                          <a:xfrm>
                            <a:off x="2193120" y="896760"/>
                            <a:ext cx="1913760" cy="531360"/>
                          </a:xfrm>
                          <a:prstGeom prst="roundRect">
                            <a:avLst>
                              <a:gd name="adj" fmla="val 16667"/>
                            </a:avLst>
                          </a:prstGeom>
                          <a:solidFill>
                            <a:srgbClr val="0070C0"/>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p>
                            <w:p w:rsidR="00303B66" w:rsidRDefault="00303B66">
                              <w:pPr>
                                <w:overflowPunct w:val="0"/>
                                <w:jc w:val="center"/>
                              </w:pPr>
                              <w:r>
                                <w:rPr>
                                  <w:rFonts w:asciiTheme="minorHAnsi" w:hAnsiTheme="minorHAnsi" w:cs="DejaVu Sans"/>
                                  <w:b/>
                                  <w:bCs/>
                                  <w:color w:val="000000"/>
                                  <w:sz w:val="22"/>
                                  <w:szCs w:val="22"/>
                                </w:rPr>
                                <w:t>DIREÇÃO GERAL</w:t>
                              </w:r>
                            </w:p>
                            <w:p w:rsidR="00303B66" w:rsidRDefault="00303B66">
                              <w:pPr>
                                <w:overflowPunct w:val="0"/>
                                <w:jc w:val="center"/>
                              </w:pPr>
                            </w:p>
                          </w:txbxContent>
                        </wps:txbx>
                        <wps:bodyPr lIns="90000" tIns="45000" rIns="90000" bIns="45000" anchor="ctr">
                          <a:noAutofit/>
                        </wps:bodyPr>
                      </wps:wsp>
                      <wps:wsp>
                        <wps:cNvPr id="18" name="Retângulo de cantos arredondados 18"/>
                        <wps:cNvSpPr/>
                        <wps:spPr>
                          <a:xfrm>
                            <a:off x="2303280" y="2077560"/>
                            <a:ext cx="1693080" cy="577800"/>
                          </a:xfrm>
                          <a:prstGeom prst="roundRect">
                            <a:avLst>
                              <a:gd name="adj" fmla="val 16667"/>
                            </a:avLst>
                          </a:prstGeom>
                          <a:solidFill>
                            <a:srgbClr val="E46C0A"/>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p>
                            <w:p w:rsidR="00303B66" w:rsidRDefault="00303B66">
                              <w:pPr>
                                <w:overflowPunct w:val="0"/>
                                <w:jc w:val="center"/>
                              </w:pPr>
                              <w:r>
                                <w:rPr>
                                  <w:rFonts w:asciiTheme="minorHAnsi" w:hAnsiTheme="minorHAnsi" w:cs="DejaVu Sans"/>
                                  <w:b/>
                                  <w:bCs/>
                                  <w:color w:val="000000"/>
                                  <w:sz w:val="22"/>
                                  <w:szCs w:val="22"/>
                                </w:rPr>
                                <w:t>DIRETORIA DE ENSINO, PESQUISA E EXTENSÃO</w:t>
                              </w:r>
                            </w:p>
                            <w:p w:rsidR="00303B66" w:rsidRDefault="00303B66">
                              <w:pPr>
                                <w:overflowPunct w:val="0"/>
                                <w:jc w:val="center"/>
                              </w:pPr>
                              <w:r>
                                <w:rPr>
                                  <w:rFonts w:asciiTheme="minorHAnsi" w:hAnsiTheme="minorHAnsi" w:cs="DejaVu Sans"/>
                                  <w:b/>
                                  <w:bCs/>
                                  <w:color w:val="000000"/>
                                  <w:sz w:val="22"/>
                                  <w:szCs w:val="22"/>
                                </w:rPr>
                                <w:t xml:space="preserve"> </w:t>
                              </w:r>
                            </w:p>
                          </w:txbxContent>
                        </wps:txbx>
                        <wps:bodyPr lIns="90000" tIns="45000" rIns="90000" bIns="45000" anchor="ctr">
                          <a:noAutofit/>
                        </wps:bodyPr>
                      </wps:wsp>
                      <wps:wsp>
                        <wps:cNvPr id="19" name="Retângulo de cantos arredondados 19"/>
                        <wps:cNvSpPr/>
                        <wps:spPr>
                          <a:xfrm>
                            <a:off x="4357440" y="821160"/>
                            <a:ext cx="1806120" cy="772920"/>
                          </a:xfrm>
                          <a:prstGeom prst="roundRect">
                            <a:avLst>
                              <a:gd name="adj" fmla="val 16667"/>
                            </a:avLst>
                          </a:prstGeom>
                          <a:solidFill>
                            <a:srgbClr val="FAC090"/>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COORDENAÇÃO DE TECNOLOGIA</w:t>
                              </w:r>
                            </w:p>
                            <w:p w:rsidR="00303B66" w:rsidRDefault="00303B66">
                              <w:pPr>
                                <w:overflowPunct w:val="0"/>
                                <w:jc w:val="center"/>
                              </w:pPr>
                              <w:r>
                                <w:rPr>
                                  <w:rFonts w:asciiTheme="minorHAnsi" w:hAnsiTheme="minorHAnsi" w:cs="DejaVu Sans"/>
                                  <w:b/>
                                  <w:bCs/>
                                  <w:color w:val="000000"/>
                                  <w:sz w:val="22"/>
                                  <w:szCs w:val="22"/>
                                </w:rPr>
                                <w:t xml:space="preserve"> DA INFORMAÇÃO </w:t>
                              </w:r>
                            </w:p>
                          </w:txbxContent>
                        </wps:txbx>
                        <wps:bodyPr lIns="90000" tIns="45000" rIns="90000" bIns="45000" anchor="ctr">
                          <a:noAutofit/>
                        </wps:bodyPr>
                      </wps:wsp>
                      <wps:wsp>
                        <wps:cNvPr id="20" name="Retângulo de cantos arredondados 20"/>
                        <wps:cNvSpPr/>
                        <wps:spPr>
                          <a:xfrm>
                            <a:off x="4286160" y="3690720"/>
                            <a:ext cx="2025720" cy="752400"/>
                          </a:xfrm>
                          <a:prstGeom prst="roundRect">
                            <a:avLst>
                              <a:gd name="adj" fmla="val 16667"/>
                            </a:avLst>
                          </a:prstGeom>
                          <a:solidFill>
                            <a:srgbClr val="FFC000"/>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COORDENAÇÃO DO CURSO TÉCNICO EM RECURSOS PESQUEIROS</w:t>
                              </w:r>
                            </w:p>
                          </w:txbxContent>
                        </wps:txbx>
                        <wps:bodyPr lIns="90000" tIns="45000" rIns="90000" bIns="45000" anchor="ctr">
                          <a:noAutofit/>
                        </wps:bodyPr>
                      </wps:wsp>
                      <wps:wsp>
                        <wps:cNvPr id="21" name="Conector reto 21"/>
                        <wps:cNvCnPr/>
                        <wps:spPr>
                          <a:xfrm>
                            <a:off x="3152160" y="1432080"/>
                            <a:ext cx="720" cy="6235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22" name="Conector reto 22"/>
                        <wps:cNvCnPr/>
                        <wps:spPr>
                          <a:xfrm>
                            <a:off x="964440" y="3497760"/>
                            <a:ext cx="427752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23" name="Retângulo de cantos arredondados 23"/>
                        <wps:cNvSpPr/>
                        <wps:spPr>
                          <a:xfrm>
                            <a:off x="10800" y="2449080"/>
                            <a:ext cx="1807200" cy="529560"/>
                          </a:xfrm>
                          <a:prstGeom prst="roundRect">
                            <a:avLst>
                              <a:gd name="adj" fmla="val 16667"/>
                            </a:avLst>
                          </a:prstGeom>
                          <a:solidFill>
                            <a:srgbClr val="95B3D7"/>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BIBLIOTECA</w:t>
                              </w:r>
                            </w:p>
                          </w:txbxContent>
                        </wps:txbx>
                        <wps:bodyPr lIns="90000" tIns="45000" rIns="90000" bIns="45000" anchor="ctr">
                          <a:noAutofit/>
                        </wps:bodyPr>
                      </wps:wsp>
                      <wps:wsp>
                        <wps:cNvPr id="24" name="Conector reto 24"/>
                        <wps:cNvCnPr/>
                        <wps:spPr>
                          <a:xfrm>
                            <a:off x="1892160" y="1190160"/>
                            <a:ext cx="300960" cy="144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25" name="Retângulo de cantos arredondados 25"/>
                        <wps:cNvSpPr/>
                        <wps:spPr>
                          <a:xfrm>
                            <a:off x="137880" y="915840"/>
                            <a:ext cx="1806120" cy="531360"/>
                          </a:xfrm>
                          <a:prstGeom prst="roundRect">
                            <a:avLst>
                              <a:gd name="adj" fmla="val 16667"/>
                            </a:avLst>
                          </a:prstGeom>
                          <a:solidFill>
                            <a:srgbClr val="77933C"/>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ASCOM</w:t>
                              </w:r>
                            </w:p>
                          </w:txbxContent>
                        </wps:txbx>
                        <wps:bodyPr lIns="90000" tIns="45000" rIns="90000" bIns="45000" anchor="ctr">
                          <a:noAutofit/>
                        </wps:bodyPr>
                      </wps:wsp>
                      <wps:wsp>
                        <wps:cNvPr id="26" name="Conector reto 26"/>
                        <wps:cNvCnPr/>
                        <wps:spPr>
                          <a:xfrm>
                            <a:off x="3124800" y="551880"/>
                            <a:ext cx="1440" cy="3384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27" name="Retângulo de cantos arredondados 27"/>
                        <wps:cNvSpPr/>
                        <wps:spPr>
                          <a:xfrm>
                            <a:off x="0" y="1829520"/>
                            <a:ext cx="1807200" cy="529560"/>
                          </a:xfrm>
                          <a:prstGeom prst="roundRect">
                            <a:avLst>
                              <a:gd name="adj" fmla="val 16667"/>
                            </a:avLst>
                          </a:prstGeom>
                          <a:solidFill>
                            <a:srgbClr val="FCD5B5"/>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 xml:space="preserve">REGISTRO E INDICADORES ACADÊMICOS </w:t>
                              </w:r>
                            </w:p>
                          </w:txbxContent>
                        </wps:txbx>
                        <wps:bodyPr lIns="90000" tIns="45000" rIns="90000" bIns="45000" anchor="ctr">
                          <a:noAutofit/>
                        </wps:bodyPr>
                      </wps:wsp>
                      <wps:wsp>
                        <wps:cNvPr id="28" name="Conector reto 28"/>
                        <wps:cNvCnPr/>
                        <wps:spPr>
                          <a:xfrm>
                            <a:off x="2028960" y="2088000"/>
                            <a:ext cx="720" cy="58176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29" name="Conector reto 29"/>
                        <wps:cNvCnPr/>
                        <wps:spPr>
                          <a:xfrm>
                            <a:off x="4185360" y="2077560"/>
                            <a:ext cx="21924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30" name="Conector reto 30"/>
                        <wps:cNvCnPr/>
                        <wps:spPr>
                          <a:xfrm>
                            <a:off x="4021560" y="2380680"/>
                            <a:ext cx="16380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31" name="Conector reto 31"/>
                        <wps:cNvCnPr/>
                        <wps:spPr>
                          <a:xfrm>
                            <a:off x="1809720" y="2085480"/>
                            <a:ext cx="21924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32" name="Conector reto 32"/>
                        <wps:cNvCnPr/>
                        <wps:spPr>
                          <a:xfrm>
                            <a:off x="1812240" y="2665800"/>
                            <a:ext cx="21960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33" name="Conector reto 33"/>
                        <wps:cNvCnPr/>
                        <wps:spPr>
                          <a:xfrm>
                            <a:off x="2039760" y="2379960"/>
                            <a:ext cx="27432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34" name="Retângulo de cantos arredondados 34"/>
                        <wps:cNvSpPr/>
                        <wps:spPr>
                          <a:xfrm>
                            <a:off x="31680" y="3690720"/>
                            <a:ext cx="2025720" cy="753120"/>
                          </a:xfrm>
                          <a:prstGeom prst="roundRect">
                            <a:avLst>
                              <a:gd name="adj" fmla="val 16667"/>
                            </a:avLst>
                          </a:prstGeom>
                          <a:solidFill>
                            <a:srgbClr val="FFC000"/>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COORDENAÇÃO DO</w:t>
                              </w:r>
                            </w:p>
                            <w:p w:rsidR="00303B66" w:rsidRDefault="00303B66">
                              <w:pPr>
                                <w:overflowPunct w:val="0"/>
                                <w:jc w:val="center"/>
                              </w:pPr>
                              <w:r>
                                <w:rPr>
                                  <w:rFonts w:asciiTheme="minorHAnsi" w:hAnsiTheme="minorHAnsi" w:cs="DejaVu Sans"/>
                                  <w:b/>
                                  <w:bCs/>
                                  <w:color w:val="000000"/>
                                  <w:sz w:val="22"/>
                                  <w:szCs w:val="22"/>
                                </w:rPr>
                                <w:t xml:space="preserve"> CURSO TÉCNICO</w:t>
                              </w:r>
                            </w:p>
                            <w:p w:rsidR="00303B66" w:rsidRDefault="00303B66">
                              <w:pPr>
                                <w:overflowPunct w:val="0"/>
                                <w:jc w:val="center"/>
                              </w:pPr>
                              <w:r>
                                <w:rPr>
                                  <w:rFonts w:asciiTheme="minorHAnsi" w:hAnsiTheme="minorHAnsi" w:cs="DejaVu Sans"/>
                                  <w:b/>
                                  <w:bCs/>
                                  <w:color w:val="000000"/>
                                  <w:sz w:val="22"/>
                                  <w:szCs w:val="22"/>
                                </w:rPr>
                                <w:t xml:space="preserve"> EM INFORMÁTICA</w:t>
                              </w:r>
                            </w:p>
                          </w:txbxContent>
                        </wps:txbx>
                        <wps:bodyPr lIns="90000" tIns="45000" rIns="90000" bIns="45000" anchor="ctr">
                          <a:noAutofit/>
                        </wps:bodyPr>
                      </wps:wsp>
                      <wps:wsp>
                        <wps:cNvPr id="35" name="Retângulo de cantos arredondados 35"/>
                        <wps:cNvSpPr/>
                        <wps:spPr>
                          <a:xfrm>
                            <a:off x="2170440" y="3693240"/>
                            <a:ext cx="2023920" cy="749160"/>
                          </a:xfrm>
                          <a:prstGeom prst="roundRect">
                            <a:avLst>
                              <a:gd name="adj" fmla="val 16667"/>
                            </a:avLst>
                          </a:prstGeom>
                          <a:solidFill>
                            <a:srgbClr val="FFC000"/>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COORDENAÇÃO DO</w:t>
                              </w:r>
                            </w:p>
                            <w:p w:rsidR="00303B66" w:rsidRDefault="00303B66">
                              <w:pPr>
                                <w:overflowPunct w:val="0"/>
                                <w:jc w:val="center"/>
                              </w:pPr>
                              <w:r>
                                <w:rPr>
                                  <w:rFonts w:asciiTheme="minorHAnsi" w:hAnsiTheme="minorHAnsi" w:cs="DejaVu Sans"/>
                                  <w:b/>
                                  <w:bCs/>
                                  <w:color w:val="000000"/>
                                  <w:sz w:val="22"/>
                                  <w:szCs w:val="22"/>
                                </w:rPr>
                                <w:t xml:space="preserve">  CURSO TÉCNICO </w:t>
                              </w:r>
                            </w:p>
                            <w:p w:rsidR="00303B66" w:rsidRDefault="00303B66">
                              <w:pPr>
                                <w:overflowPunct w:val="0"/>
                                <w:jc w:val="center"/>
                              </w:pPr>
                              <w:r>
                                <w:rPr>
                                  <w:rFonts w:asciiTheme="minorHAnsi" w:hAnsiTheme="minorHAnsi" w:cs="DejaVu Sans"/>
                                  <w:b/>
                                  <w:bCs/>
                                  <w:color w:val="000000"/>
                                  <w:sz w:val="22"/>
                                  <w:szCs w:val="22"/>
                                </w:rPr>
                                <w:t>EM EVENTOS</w:t>
                              </w:r>
                            </w:p>
                          </w:txbxContent>
                        </wps:txbx>
                        <wps:bodyPr lIns="90000" tIns="45000" rIns="90000" bIns="45000" anchor="ctr">
                          <a:noAutofit/>
                        </wps:bodyPr>
                      </wps:wsp>
                      <wps:wsp>
                        <wps:cNvPr id="36" name="Conector reto 36"/>
                        <wps:cNvCnPr/>
                        <wps:spPr>
                          <a:xfrm>
                            <a:off x="3124800" y="3490560"/>
                            <a:ext cx="1440" cy="19368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37" name="Conector reto 37"/>
                        <wps:cNvCnPr/>
                        <wps:spPr>
                          <a:xfrm>
                            <a:off x="5241240" y="3497760"/>
                            <a:ext cx="1440" cy="19224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38" name="Conector reto 38"/>
                        <wps:cNvCnPr/>
                        <wps:spPr>
                          <a:xfrm>
                            <a:off x="964440" y="3497760"/>
                            <a:ext cx="720" cy="19224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39" name="Retângulo de cantos arredondados 39"/>
                        <wps:cNvSpPr/>
                        <wps:spPr>
                          <a:xfrm>
                            <a:off x="4413240" y="1797840"/>
                            <a:ext cx="1806120" cy="529560"/>
                          </a:xfrm>
                          <a:prstGeom prst="roundRect">
                            <a:avLst>
                              <a:gd name="adj" fmla="val 16667"/>
                            </a:avLst>
                          </a:prstGeom>
                          <a:solidFill>
                            <a:srgbClr val="FAC090"/>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COORDENAÇÃO DE PESQUISA E EXTENSÃO</w:t>
                              </w:r>
                            </w:p>
                          </w:txbxContent>
                        </wps:txbx>
                        <wps:bodyPr lIns="90000" tIns="45000" rIns="90000" bIns="45000" anchor="ctr">
                          <a:noAutofit/>
                        </wps:bodyPr>
                      </wps:wsp>
                      <wps:wsp>
                        <wps:cNvPr id="40" name="Conector reto 40"/>
                        <wps:cNvCnPr/>
                        <wps:spPr>
                          <a:xfrm>
                            <a:off x="3124800" y="2658600"/>
                            <a:ext cx="1440" cy="83880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41" name="Retângulo de cantos arredondados 41"/>
                        <wps:cNvSpPr/>
                        <wps:spPr>
                          <a:xfrm>
                            <a:off x="4425480" y="2410920"/>
                            <a:ext cx="1806120" cy="530280"/>
                          </a:xfrm>
                          <a:prstGeom prst="roundRect">
                            <a:avLst>
                              <a:gd name="adj" fmla="val 16667"/>
                            </a:avLst>
                          </a:prstGeom>
                          <a:solidFill>
                            <a:srgbClr val="FFFF00"/>
                          </a:solidFill>
                          <a:ln w="25560">
                            <a:solidFill>
                              <a:srgbClr val="3A5F8B"/>
                            </a:solidFill>
                            <a:round/>
                          </a:ln>
                        </wps:spPr>
                        <wps:style>
                          <a:lnRef idx="0">
                            <a:scrgbClr r="0" g="0" b="0"/>
                          </a:lnRef>
                          <a:fillRef idx="0">
                            <a:scrgbClr r="0" g="0" b="0"/>
                          </a:fillRef>
                          <a:effectRef idx="0">
                            <a:scrgbClr r="0" g="0" b="0"/>
                          </a:effectRef>
                          <a:fontRef idx="minor"/>
                        </wps:style>
                        <wps:txbx>
                          <w:txbxContent>
                            <w:p w:rsidR="00303B66" w:rsidRDefault="00303B66">
                              <w:pPr>
                                <w:overflowPunct w:val="0"/>
                                <w:jc w:val="center"/>
                              </w:pPr>
                              <w:r>
                                <w:rPr>
                                  <w:rFonts w:asciiTheme="minorHAnsi" w:hAnsiTheme="minorHAnsi" w:cs="DejaVu Sans"/>
                                  <w:b/>
                                  <w:bCs/>
                                  <w:color w:val="000000"/>
                                  <w:sz w:val="22"/>
                                  <w:szCs w:val="22"/>
                                </w:rPr>
                                <w:t xml:space="preserve"> ASSISTÊNCIA ESTUDANTIL E AÇÕES INCLUSIVAS</w:t>
                              </w:r>
                            </w:p>
                          </w:txbxContent>
                        </wps:txbx>
                        <wps:bodyPr lIns="90000" tIns="45000" rIns="90000" bIns="45000" anchor="ctr">
                          <a:noAutofit/>
                        </wps:bodyPr>
                      </wps:wsp>
                      <wps:wsp>
                        <wps:cNvPr id="42" name="Conector reto 42"/>
                        <wps:cNvCnPr/>
                        <wps:spPr>
                          <a:xfrm>
                            <a:off x="4110480" y="1190160"/>
                            <a:ext cx="246960" cy="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43" name="Conector reto 43"/>
                        <wps:cNvCnPr/>
                        <wps:spPr>
                          <a:xfrm>
                            <a:off x="4185360" y="2075760"/>
                            <a:ext cx="720" cy="58176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s:wsp>
                        <wps:cNvPr id="44" name="Conector reto 44"/>
                        <wps:cNvCnPr/>
                        <wps:spPr>
                          <a:xfrm>
                            <a:off x="4180320" y="2660040"/>
                            <a:ext cx="219600" cy="720"/>
                          </a:xfrm>
                          <a:prstGeom prst="line">
                            <a:avLst/>
                          </a:prstGeom>
                          <a:ln w="9360">
                            <a:solidFill>
                              <a:srgbClr val="4A7EBB"/>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41232FE" id="Forma2" o:spid="_x0000_s1026" style="position:absolute;left:0;text-align:left;margin-left:5.6pt;margin-top:2.45pt;width:497.05pt;height:349.95pt;z-index:8;mso-wrap-distance-left:0;mso-wrap-distance-right: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">
                <v:roundrect id="Retângulo de cantos arredondados 14" o:spid="_x0000_s1027" style="position:absolute;left:2084760;width:2077560;height:5295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qRsAA&#10;AADbAAAADwAAAGRycy9kb3ducmV2LnhtbERPTWvDMAy9F/YfjAa7tc7KGCGrW0pZIT2EsXS7C1uL&#10;Q2M5xG6S/vt6MNhNj/epzW52nRhpCK1nBc+rDASx9qblRsHX+bjMQYSIbLDzTApuFGC3fVhssDB+&#10;4k8a69iIFMKhQAU2xr6QMmhLDsPK98SJ+/GDw5jg0Egz4JTCXSfXWfYqHbacGiz2dLCkL/XVKchl&#10;9Y3z/uxinp1s9V7qD10GpZ4e5/0biEhz/Bf/uUuT5r/A7y/pALm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cqRsAAAADbAAAADwAAAAAAAAAAAAAAAACYAgAAZHJzL2Rvd25y&#10;ZXYueG1sUEsFBgAAAAAEAAQA9QAAAIUDAAAAAA==&#10;" fillcolor="#00b050"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REITORIA</w:t>
                        </w:r>
                      </w:p>
                    </w:txbxContent>
                  </v:textbox>
                </v:roundrect>
                <v:line id="Conector reto 15" o:spid="_x0000_s1028" style="position:absolute;visibility:visible;mso-wrap-style:square" from="3344040,3129120" to="3344760,3129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aRtcAAAADbAAAADwAAAGRycy9kb3ducmV2LnhtbERPTYvCMBC9C/6HMII3TV1ckWoUEZZ6&#10;WlD3sMehGdtoM6lNqnV/vVkQvM3jfc5y3dlK3KjxxrGCyTgBQZw7bbhQ8HP8Gs1B+ICssXJMCh7k&#10;Yb3q95aYanfnPd0OoRAxhH2KCsoQ6lRKn5dk0Y9dTRy5k2sshgibQuoG7zHcVvIjSWbSouHYUGJN&#10;25Lyy6G1CubXqWv/TEa/32121NnMyPNlq9Rw0G0WIAJ14S1+uXc6zv+E/1/iAX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mkbXAAAAA2wAAAA8AAAAAAAAAAAAAAAAA&#10;oQIAAGRycy9kb3ducmV2LnhtbFBLBQYAAAAABAAEAPkAAACOAwAAAAA=&#10;" strokecolor="#4a7ebb" strokeweight=".26mm"/>
                <v:line id="Conector reto 16" o:spid="_x0000_s1029" style="position:absolute;visibility:visible;mso-wrap-style:square" from="1149840,2741400" to="1150560,274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QPwsIAAADbAAAADwAAAGRycy9kb3ducmV2LnhtbERPPWvDMBDdC/kP4gLZajklmOBaCSVQ&#10;nClQu0PGw7raaqyTY8mJ219fFQrd7vE+r9jPthc3Gr1xrGCdpCCIG6cNtwre69fHLQgfkDX2jknB&#10;F3nY7xYPBeba3fmNblVoRQxhn6OCLoQhl9I3HVn0iRuII/fhRoshwrGVesR7DLe9fErTTFo0HBs6&#10;HOjQUXOpJqtge9246duUdD5NZa3LzMjPy0Gp1XJ+eQYRaA7/4j/3Ucf5Gfz+Eg+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DQPwsIAAADbAAAADwAAAAAAAAAAAAAA&#10;AAChAgAAZHJzL2Rvd25yZXYueG1sUEsFBgAAAAAEAAQA+QAAAJADAAAAAA==&#10;" strokecolor="#4a7ebb" strokeweight=".26mm"/>
                <v:roundrect id="Retângulo de cantos arredondados 17" o:spid="_x0000_s1030" style="position:absolute;left:2193120;top:896760;width:1913760;height:5313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1nrcIA&#10;AADbAAAADwAAAGRycy9kb3ducmV2LnhtbERPzWrCQBC+F3yHZQQvRTdNqZXUVWwh0oMXtQ8wZMck&#10;NDub7q7J+vZuodDbfHy/s95G04mBnG8tK3haZCCIK6tbrhV8ncv5CoQPyBo7y6TgRh62m8nDGgtt&#10;Rz7ScAq1SCHsC1TQhNAXUvqqIYN+YXvixF2sMxgSdLXUDscUbjqZZ9lSGmw5NTTY00dD1ffpahTE&#10;90OZx9XB/jzidef2L/45a71Ss2ncvYEIFMO/+M/9qdP8V/j9JR0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WetwgAAANsAAAAPAAAAAAAAAAAAAAAAAJgCAABkcnMvZG93&#10;bnJldi54bWxQSwUGAAAAAAQABAD1AAAAhwMAAAAA&#10;" fillcolor="#0070c0" strokecolor="#3a5f8b" strokeweight=".71mm">
                  <v:textbox inset="2.5mm,1.25mm,2.5mm,1.25mm">
                    <w:txbxContent>
                      <w:p w:rsidR="00303B66" w:rsidRDefault="00303B66">
                        <w:pPr>
                          <w:overflowPunct w:val="0"/>
                          <w:jc w:val="center"/>
                        </w:pPr>
                      </w:p>
                      <w:p w:rsidR="00303B66" w:rsidRDefault="00303B66">
                        <w:pPr>
                          <w:overflowPunct w:val="0"/>
                          <w:jc w:val="center"/>
                        </w:pPr>
                        <w:r>
                          <w:rPr>
                            <w:rFonts w:asciiTheme="minorHAnsi" w:hAnsiTheme="minorHAnsi" w:cs="DejaVu Sans"/>
                            <w:b/>
                            <w:bCs/>
                            <w:color w:val="000000"/>
                            <w:sz w:val="22"/>
                            <w:szCs w:val="22"/>
                          </w:rPr>
                          <w:t>DIREÇÃO GERAL</w:t>
                        </w:r>
                      </w:p>
                      <w:p w:rsidR="00303B66" w:rsidRDefault="00303B66">
                        <w:pPr>
                          <w:overflowPunct w:val="0"/>
                          <w:jc w:val="center"/>
                        </w:pPr>
                      </w:p>
                    </w:txbxContent>
                  </v:textbox>
                </v:roundrect>
                <v:roundrect id="Retângulo de cantos arredondados 18" o:spid="_x0000_s1031" style="position:absolute;left:2303280;top:2077560;width:1693080;height:5778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sAhcQA&#10;AADbAAAADwAAAGRycy9kb3ducmV2LnhtbESPQWvCQBCF70L/wzIFb7qpiJboKqEQ8NZqC623MTsm&#10;0exsyG6T9N93DoXeZnhv3vtmux9do3rqQu3ZwNM8AUVceFtzaeDjPZ89gwoR2WLjmQz8UID97mGy&#10;xdT6gY/Un2KpJIRDigaqGNtU61BU5DDMfUss2tV3DqOsXalth4OEu0YvkmSlHdYsDRW29FJRcT99&#10;OwNr2/vWJm9Z/nkOl9eb/8r69dKY6eOYbUBFGuO/+e/6YAVfYOUXG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7AIXEAAAA2wAAAA8AAAAAAAAAAAAAAAAAmAIAAGRycy9k&#10;b3ducmV2LnhtbFBLBQYAAAAABAAEAPUAAACJAwAAAAA=&#10;" fillcolor="#e46c0a" strokecolor="#3a5f8b" strokeweight=".71mm">
                  <v:textbox inset="2.5mm,1.25mm,2.5mm,1.25mm">
                    <w:txbxContent>
                      <w:p w:rsidR="00303B66" w:rsidRDefault="00303B66">
                        <w:pPr>
                          <w:overflowPunct w:val="0"/>
                          <w:jc w:val="center"/>
                        </w:pPr>
                      </w:p>
                      <w:p w:rsidR="00303B66" w:rsidRDefault="00303B66">
                        <w:pPr>
                          <w:overflowPunct w:val="0"/>
                          <w:jc w:val="center"/>
                        </w:pPr>
                        <w:r>
                          <w:rPr>
                            <w:rFonts w:asciiTheme="minorHAnsi" w:hAnsiTheme="minorHAnsi" w:cs="DejaVu Sans"/>
                            <w:b/>
                            <w:bCs/>
                            <w:color w:val="000000"/>
                            <w:sz w:val="22"/>
                            <w:szCs w:val="22"/>
                          </w:rPr>
                          <w:t>DIRETORIA DE ENSINO, PESQUISA E EXTENSÃO</w:t>
                        </w:r>
                      </w:p>
                      <w:p w:rsidR="00303B66" w:rsidRDefault="00303B66">
                        <w:pPr>
                          <w:overflowPunct w:val="0"/>
                          <w:jc w:val="center"/>
                        </w:pPr>
                        <w:r>
                          <w:rPr>
                            <w:rFonts w:asciiTheme="minorHAnsi" w:hAnsiTheme="minorHAnsi" w:cs="DejaVu Sans"/>
                            <w:b/>
                            <w:bCs/>
                            <w:color w:val="000000"/>
                            <w:sz w:val="22"/>
                            <w:szCs w:val="22"/>
                          </w:rPr>
                          <w:t xml:space="preserve"> </w:t>
                        </w:r>
                      </w:p>
                    </w:txbxContent>
                  </v:textbox>
                </v:roundrect>
                <v:roundrect id="Retângulo de cantos arredondados 19" o:spid="_x0000_s1032" style="position:absolute;left:4357440;top:821160;width:1806120;height:7729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qd8MA&#10;AADbAAAADwAAAGRycy9kb3ducmV2LnhtbERPS2sCMRC+F/wPYQq91Ww9lHY1LlKwWwoFXR/ncTPu&#10;o8lk2aS6/ntTELzNx/ecWTZYI07U+8axgpdxAoK4dLrhSsF2s3x+A+EDskbjmBRcyEM2Hz3MMNXu&#10;zGs6FaESMYR9igrqELpUSl/WZNGPXUccuaPrLYYI+0rqHs8x3Bo5SZJXabHh2FBjRx81lb/Fn1WQ&#10;d58/7abYHcw6zyffplwV+3al1NPjsJiCCDSEu/jm/tJx/jv8/xIPk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wqd8MAAADbAAAADwAAAAAAAAAAAAAAAACYAgAAZHJzL2Rv&#10;d25yZXYueG1sUEsFBgAAAAAEAAQA9QAAAIgDAAAAAA==&#10;" fillcolor="#fac090"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COORDENAÇÃO DE TECNOLOGIA</w:t>
                        </w:r>
                      </w:p>
                      <w:p w:rsidR="00303B66" w:rsidRDefault="00303B66">
                        <w:pPr>
                          <w:overflowPunct w:val="0"/>
                          <w:jc w:val="center"/>
                        </w:pPr>
                        <w:r>
                          <w:rPr>
                            <w:rFonts w:asciiTheme="minorHAnsi" w:hAnsiTheme="minorHAnsi" w:cs="DejaVu Sans"/>
                            <w:b/>
                            <w:bCs/>
                            <w:color w:val="000000"/>
                            <w:sz w:val="22"/>
                            <w:szCs w:val="22"/>
                          </w:rPr>
                          <w:t xml:space="preserve"> DA INFORMAÇÃO </w:t>
                        </w:r>
                      </w:p>
                    </w:txbxContent>
                  </v:textbox>
                </v:roundrect>
                <v:roundrect id="Retângulo de cantos arredondados 20" o:spid="_x0000_s1033" style="position:absolute;left:4286160;top:3690720;width:2025720;height:7524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wgMEA&#10;AADbAAAADwAAAGRycy9kb3ducmV2LnhtbERPTYvCMBC9C/sfwgh7EU1XsEg1irsgLIjgVi/exmZs&#10;is2kNNHWf28Owh4f73u57m0tHtT6yrGCr0kCgrhwuuJSwem4Hc9B+ICssXZMCp7kYb36GCwx067j&#10;P3rkoRQxhH2GCkwITSalLwxZ9BPXEEfu6lqLIcK2lLrFLobbWk6TJJUWK44NBhv6MVTc8rtVMJpv&#10;0p05XK6z56FLu93+dL58J0p9DvvNAkSgPvyL3+5frWAa18cv8Q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EcIDBAAAA2wAAAA8AAAAAAAAAAAAAAAAAmAIAAGRycy9kb3du&#10;cmV2LnhtbFBLBQYAAAAABAAEAPUAAACGAwAAAAA=&#10;" fillcolor="#ffc000"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COORDENAÇÃO DO CURSO TÉCNICO EM RECURSOS PESQUEIROS</w:t>
                        </w:r>
                      </w:p>
                    </w:txbxContent>
                  </v:textbox>
                </v:roundrect>
                <v:line id="Conector reto 21" o:spid="_x0000_s1034" style="position:absolute;visibility:visible;mso-wrap-style:square" from="3152160,1432080" to="3152880,2055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FdC8MAAADbAAAADwAAAGRycy9kb3ducmV2LnhtbESPT4vCMBTE78J+h/AW9mZTZRHpGkWE&#10;pZ4E/xw8Ppq3bbR56TapVj+9EQSPw8z8hpkteluLC7XeOFYwSlIQxIXThksFh/3vcArCB2SNtWNS&#10;cCMPi/nHYIaZdlfe0mUXShEh7DNUUIXQZFL6oiKLPnENcfT+XGsxRNmWUrd4jXBby3GaTqRFw3Gh&#10;woZWFRXnXWcVTP+/XXc3OR03Xb7X+cTI03ml1Ndnv/wBEagP7/CrvdYKxiN4fok/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xXQvDAAAA2wAAAA8AAAAAAAAAAAAA&#10;AAAAoQIAAGRycy9kb3ducmV2LnhtbFBLBQYAAAAABAAEAPkAAACRAwAAAAA=&#10;" strokecolor="#4a7ebb" strokeweight=".26mm"/>
                <v:line id="Conector reto 22" o:spid="_x0000_s1035" style="position:absolute;visibility:visible;mso-wrap-style:square" from="964440,3497760" to="5241960,3498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DfMMAAADbAAAADwAAAGRycy9kb3ducmV2LnhtbESPT4vCMBTE78J+h/AW9qapZRGpRhFh&#10;qSfBPwePj+bZRpuXbpNqdz+9EQSPw8z8hpkve1uLG7XeOFYwHiUgiAunDZcKjoef4RSED8gaa8ek&#10;4I88LBcfgzlm2t15R7d9KEWEsM9QQRVCk0npi4os+pFriKN3dq3FEGVbSt3iPcJtLdMkmUiLhuNC&#10;hQ2tKyqu+84qmP5+u+7f5HTadvlB5xMjL9e1Ul+f/WoGIlAf3uFXe6MVpCk8v8Qf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jw3zDAAAA2wAAAA8AAAAAAAAAAAAA&#10;AAAAoQIAAGRycy9kb3ducmV2LnhtbFBLBQYAAAAABAAEAPkAAACRAwAAAAA=&#10;" strokecolor="#4a7ebb" strokeweight=".26mm"/>
                <v:roundrect id="Retângulo de cantos arredondados 23" o:spid="_x0000_s1036" style="position:absolute;left:10800;top:2449080;width:1807200;height:5295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ppcQA&#10;AADbAAAADwAAAGRycy9kb3ducmV2LnhtbESPT2sCMRTE70K/Q3hCL6JJFUpZjSKFQnsR/NODt8fm&#10;uVncvCybV1399KZQ6HGYmd8wi1UfGnWhLtWRLbxMDCjiMrqaKwuH/cf4DVQSZIdNZLJwowSr5dNg&#10;gYWLV97SZSeVyhBOBVrwIm2hdSo9BUyT2BJn7xS7gJJlV2nX4TXDQ6OnxrzqgDXnBY8tvXsqz7uf&#10;YGG9+druQ+3j0RzNt5aRnO93sfZ52K/noIR6+Q//tT+dhekMfr/kH6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jKaXEAAAA2wAAAA8AAAAAAAAAAAAAAAAAmAIAAGRycy9k&#10;b3ducmV2LnhtbFBLBQYAAAAABAAEAPUAAACJAwAAAAA=&#10;" fillcolor="#95b3d7"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BIBLIOTECA</w:t>
                        </w:r>
                      </w:p>
                    </w:txbxContent>
                  </v:textbox>
                </v:roundrect>
                <v:line id="Conector reto 24" o:spid="_x0000_s1037" style="position:absolute;visibility:visible;mso-wrap-style:square" from="1892160,1190160" to="2193120,119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b+k8IAAADbAAAADwAAAGRycy9kb3ducmV2LnhtbESPT4vCMBTE74LfITzBm6aKiHSNsghL&#10;9yT45+Dx0bxtszYvtUm1+umNIHgcZuY3zHLd2UpcqfHGsYLJOAFBnDttuFBwPPyMFiB8QNZYOSYF&#10;d/KwXvV7S0y1u/GOrvtQiAhhn6KCMoQ6ldLnJVn0Y1cTR+/PNRZDlE0hdYO3CLeVnCbJXFo0HBdK&#10;rGlTUn7et1bB4jJz7cNkdNq22UFncyP/zxulhoPu+wtEoC58wu/2r1YwncHrS/w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cb+k8IAAADbAAAADwAAAAAAAAAAAAAA&#10;AAChAgAAZHJzL2Rvd25yZXYueG1sUEsFBgAAAAAEAAQA+QAAAJADAAAAAA==&#10;" strokecolor="#4a7ebb" strokeweight=".26mm"/>
                <v:roundrect id="Retângulo de cantos arredondados 25" o:spid="_x0000_s1038" style="position:absolute;left:137880;top:915840;width:1806120;height:5313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Mi8UA&#10;AADbAAAADwAAAGRycy9kb3ducmV2LnhtbESPQWvCQBSE74L/YXkFb7qpoNjUTShioSg9VAttb4/s&#10;axLMvl2zq0n+vVsoeBxm5htmnfemEVdqfW1ZweMsAUFcWF1zqeDz+DpdgfABWWNjmRQM5CHPxqM1&#10;ptp2/EHXQyhFhLBPUUEVgkul9EVFBv3MOuLo/drWYIiyLaVusYtw08h5kiylwZrjQoWONhUVp8PF&#10;KNjsz25Y9T/b4al+P7n919l/dzulJg/9yzOIQH24h//bb1rBfAF/X+IP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EQyLxQAAANsAAAAPAAAAAAAAAAAAAAAAAJgCAABkcnMv&#10;ZG93bnJldi54bWxQSwUGAAAAAAQABAD1AAAAigMAAAAA&#10;" fillcolor="#77933c"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ASCOM</w:t>
                        </w:r>
                      </w:p>
                    </w:txbxContent>
                  </v:textbox>
                </v:roundrect>
                <v:line id="Conector reto 26" o:spid="_x0000_s1039" style="position:absolute;visibility:visible;mso-wrap-style:square" from="3124800,551880" to="3126240,890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jFf8MAAADbAAAADwAAAGRycy9kb3ducmV2LnhtbESPT4vCMBTE78J+h/AW9qapshSpRhFh&#10;qSfBPwePj+bZRpuXbpNqdz+9EQSPw8z8hpkve1uLG7XeOFYwHiUgiAunDZcKjoef4RSED8gaa8ek&#10;4I88LBcfgzlm2t15R7d9KEWEsM9QQRVCk0npi4os+pFriKN3dq3FEGVbSt3iPcJtLSdJkkqLhuNC&#10;hQ2tKyqu+84qmP5+u+7f5HTadvlB56mRl+taqa/PfjUDEagP7/CrvdEKJik8v8Qf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YxX/DAAAA2wAAAA8AAAAAAAAAAAAA&#10;AAAAoQIAAGRycy9kb3ducmV2LnhtbFBLBQYAAAAABAAEAPkAAACRAwAAAAA=&#10;" strokecolor="#4a7ebb" strokeweight=".26mm"/>
                <v:roundrect id="Retângulo de cantos arredondados 27" o:spid="_x0000_s1040" style="position:absolute;top:1829520;width:1807200;height:5295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JVL8IA&#10;AADbAAAADwAAAGRycy9kb3ducmV2LnhtbESPS4vCQBCE7wv7H4YWvCw6UfBBzCiLINnrxoDXJtPm&#10;YaYnZEYT//3OguCxqKqvqOQwmlY8qHe1ZQWLeQSCuLC65lJBfj7NtiCcR9bYWiYFT3Jw2H9+JBhr&#10;O/AvPTJfigBhF6OCyvsultIVFRl0c9sRB+9qe4M+yL6UuschwE0rl1G0lgZrDgsVdnSsqLhld6Mg&#10;Ncc0y7+ay0quTkND6VZr75SaTsbvHQhPo3+HX+0frWC5gf8v4Q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lUvwgAAANsAAAAPAAAAAAAAAAAAAAAAAJgCAABkcnMvZG93&#10;bnJldi54bWxQSwUGAAAAAAQABAD1AAAAhwMAAAAA&#10;" fillcolor="#fcd5b5"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 xml:space="preserve">REGISTRO E INDICADORES ACADÊMICOS </w:t>
                        </w:r>
                      </w:p>
                    </w:txbxContent>
                  </v:textbox>
                </v:roundrect>
                <v:line id="Conector reto 28" o:spid="_x0000_s1041" style="position:absolute;visibility:visible;mso-wrap-style:square" from="2028960,2088000" to="2029680,2669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v0lsAAAADbAAAADwAAAGRycy9kb3ducmV2LnhtbERPTYvCMBC9C/sfwix403RFRLqmIoLU&#10;k7DqwePQzLaxzaTbpFr315uD4PHxvlfrwTbiRp03jhV8TRMQxIXThksF59NusgThA7LGxjEpeJCH&#10;dfYxWmGq3Z1/6HYMpYgh7FNUUIXQplL6oiKLfupa4sj9us5iiLArpe7wHsNtI2dJspAWDceGClva&#10;VlTUx94qWP7NXf9vcroc+vyk84WR13qr1Phz2HyDCDSEt/jl3msFszg2fok/QGZ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L9JbAAAAA2wAAAA8AAAAAAAAAAAAAAAAA&#10;oQIAAGRycy9kb3ducmV2LnhtbFBLBQYAAAAABAAEAPkAAACOAwAAAAA=&#10;" strokecolor="#4a7ebb" strokeweight=".26mm"/>
                <v:line id="Conector reto 29" o:spid="_x0000_s1042" style="position:absolute;visibility:visible;mso-wrap-style:square" from="4185360,2077560" to="4404600,207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dRDcQAAADbAAAADwAAAGRycy9kb3ducmV2LnhtbESPQWvCQBSE74X+h+UVems2lSJpzCoi&#10;SDwVGj30+Mg+k9Xs2zS70dRf7xYKPQ4z8w1TrCbbiQsN3jhW8JqkIIhrpw03Cg777UsGwgdkjZ1j&#10;UvBDHlbLx4cCc+2u/EmXKjQiQtjnqKANoc+l9HVLFn3ieuLoHd1gMUQ5NFIPeI1w28lZms6lRcNx&#10;ocWeNi3V52q0CrLvNzfeTElfH2O51+XcyNN5o9Tz07RegAg0hf/wX3unFcze4fd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x1ENxAAAANsAAAAPAAAAAAAAAAAA&#10;AAAAAKECAABkcnMvZG93bnJldi54bWxQSwUGAAAAAAQABAD5AAAAkgMAAAAA&#10;" strokecolor="#4a7ebb" strokeweight=".26mm"/>
                <v:line id="Conector reto 30" o:spid="_x0000_s1043" style="position:absolute;visibility:visible;mso-wrap-style:square" from="4021560,2380680" to="4185360,238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RuTb8AAADbAAAADwAAAGRycy9kb3ducmV2LnhtbERPTYvCMBC9C/6HMII3TV0XkWoUEaR7&#10;ElY9eByasY02k9qkWvfXbw6Cx8f7Xq47W4kHNd44VjAZJyCIc6cNFwpOx91oDsIHZI2VY1LwIg/r&#10;Vb+3xFS7J//S4xAKEUPYp6igDKFOpfR5SRb92NXEkbu4xmKIsCmkbvAZw20lv5JkJi0ajg0l1rQt&#10;Kb8dWqtgfv927Z/J6Lxvs6POZkZeb1ulhoNuswARqAsf8dv9oxVM4/r4Jf4Auf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RuTb8AAADbAAAADwAAAAAAAAAAAAAAAACh&#10;AgAAZHJzL2Rvd25yZXYueG1sUEsFBgAAAAAEAAQA+QAAAI0DAAAAAA==&#10;" strokecolor="#4a7ebb" strokeweight=".26mm"/>
                <v:line id="Conector reto 31" o:spid="_x0000_s1044" style="position:absolute;visibility:visible;mso-wrap-style:square" from="1809720,2085480" to="2028960,208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jL1sQAAADbAAAADwAAAGRycy9kb3ducmV2LnhtbESPQWvCQBSE7wX/w/IKvdVNagkSXaUE&#10;SjwVGj14fGRfk63ZtzG70bS/vlsQPA4z8w2z3k62ExcavHGsIJ0nIIhrpw03Cg779+clCB+QNXaO&#10;ScEPedhuZg9rzLW78iddqtCICGGfo4I2hD6X0tctWfRz1xNH78sNFkOUQyP1gNcIt518SZJMWjQc&#10;F1rsqWipPlWjVbA8v7rx15R0/BjLvS4zI79PhVJPj9PbCkSgKdzDt/ZOK1ik8P8l/gC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aMvWxAAAANsAAAAPAAAAAAAAAAAA&#10;AAAAAKECAABkcnMvZG93bnJldi54bWxQSwUGAAAAAAQABAD5AAAAkgMAAAAA&#10;" strokecolor="#4a7ebb" strokeweight=".26mm"/>
                <v:line id="Conector reto 32" o:spid="_x0000_s1045" style="position:absolute;visibility:visible;mso-wrap-style:square" from="1812240,2665800" to="2031840,2666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pVocMAAADbAAAADwAAAGRycy9kb3ducmV2LnhtbESPT4vCMBTE74LfITzBm6brLiLVKIsg&#10;3ZPgn4PHR/O2zdq81CbV6qc3C4LHYWZ+wyxWna3ElRpvHCv4GCcgiHOnDRcKjofNaAbCB2SNlWNS&#10;cCcPq2W/t8BUuxvv6LoPhYgQ9ikqKEOoUyl9XpJFP3Y1cfR+XWMxRNkUUjd4i3BbyUmSTKVFw3Gh&#10;xJrWJeXnfWsVzC5frn2YjE7bNjvobGrk33mt1HDQfc9BBOrCO/xq/2gFnx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6VaHDAAAA2wAAAA8AAAAAAAAAAAAA&#10;AAAAoQIAAGRycy9kb3ducmV2LnhtbFBLBQYAAAAABAAEAPkAAACRAwAAAAA=&#10;" strokecolor="#4a7ebb" strokeweight=".26mm"/>
                <v:line id="Conector reto 33" o:spid="_x0000_s1046" style="position:absolute;visibility:visible;mso-wrap-style:square" from="2039760,2379960" to="2314080,238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wOsQAAADbAAAADwAAAGRycy9kb3ducmV2LnhtbESPQWvCQBSE74X+h+UVems2NiIhdRUR&#10;SnoqVD30+Mg+k9Xs2zS7MWl/fVcQPA4z8w2zXE+2FRfqvXGsYJakIIgrpw3XCg7795cchA/IGlvH&#10;pOCXPKxXjw9LLLQb+Ysuu1CLCGFfoIImhK6Q0lcNWfSJ64ijd3S9xRBlX0vd4xjhtpWvabqQFg3H&#10;hQY72jZUnXeDVZD/zN3wZ0r6/hzKvS4XRp7OW6Wen6bNG4hAU7iHb+0PrSDL4Pol/g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vA6xAAAANsAAAAPAAAAAAAAAAAA&#10;AAAAAKECAABkcnMvZG93bnJldi54bWxQSwUGAAAAAAQABAD5AAAAkgMAAAAA&#10;" strokecolor="#4a7ebb" strokeweight=".26mm"/>
                <v:roundrect id="Retângulo de cantos arredondados 34" o:spid="_x0000_s1047" style="position:absolute;left:31680;top:3690720;width:2025720;height:7531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bgXsUA&#10;AADbAAAADwAAAGRycy9kb3ducmV2LnhtbESPQWvCQBSE7wX/w/IEL6VuqjZIdBUrFApSUOult2f2&#10;mQ1m34bsauK/dwuCx2FmvmHmy85W4kqNLx0reB8mIIhzp0suFBx+v96mIHxA1lg5JgU38rBc9F7m&#10;mGnX8o6u+1CICGGfoQITQp1J6XNDFv3Q1cTRO7nGYoiyKaRusI1wW8lRkqTSYslxwWBNa0P5eX+x&#10;Cl6nq3RjtsfTx23bpu3m5/B3/EyUGvS71QxEoC48w4/2t1YwnsD/l/g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5uBexQAAANsAAAAPAAAAAAAAAAAAAAAAAJgCAABkcnMv&#10;ZG93bnJldi54bWxQSwUGAAAAAAQABAD1AAAAigMAAAAA&#10;" fillcolor="#ffc000"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COORDENAÇÃO DO</w:t>
                        </w:r>
                      </w:p>
                      <w:p w:rsidR="00303B66" w:rsidRDefault="00303B66">
                        <w:pPr>
                          <w:overflowPunct w:val="0"/>
                          <w:jc w:val="center"/>
                        </w:pPr>
                        <w:r>
                          <w:rPr>
                            <w:rFonts w:asciiTheme="minorHAnsi" w:hAnsiTheme="minorHAnsi" w:cs="DejaVu Sans"/>
                            <w:b/>
                            <w:bCs/>
                            <w:color w:val="000000"/>
                            <w:sz w:val="22"/>
                            <w:szCs w:val="22"/>
                          </w:rPr>
                          <w:t xml:space="preserve"> CURSO TÉCNICO</w:t>
                        </w:r>
                      </w:p>
                      <w:p w:rsidR="00303B66" w:rsidRDefault="00303B66">
                        <w:pPr>
                          <w:overflowPunct w:val="0"/>
                          <w:jc w:val="center"/>
                        </w:pPr>
                        <w:r>
                          <w:rPr>
                            <w:rFonts w:asciiTheme="minorHAnsi" w:hAnsiTheme="minorHAnsi" w:cs="DejaVu Sans"/>
                            <w:b/>
                            <w:bCs/>
                            <w:color w:val="000000"/>
                            <w:sz w:val="22"/>
                            <w:szCs w:val="22"/>
                          </w:rPr>
                          <w:t xml:space="preserve"> EM INFORMÁTICA</w:t>
                        </w:r>
                      </w:p>
                    </w:txbxContent>
                  </v:textbox>
                </v:roundrect>
                <v:roundrect id="Retângulo de cantos arredondados 35" o:spid="_x0000_s1048" style="position:absolute;left:2170440;top:3693240;width:2023920;height:7491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pFxcUA&#10;AADbAAAADwAAAGRycy9kb3ducmV2LnhtbESPQWvCQBSE70L/w/KEXqRuWjFIdBVbEAQRrPXi7Zl9&#10;ZoPZtyG7mvjvXUHocZiZb5jZorOVuFHjS8cKPocJCOLc6ZILBYe/1ccEhA/IGivHpOBOHhbzt94M&#10;M+1a/qXbPhQiQthnqMCEUGdS+tyQRT90NXH0zq6xGKJsCqkbbCPcVvIrSVJpseS4YLCmH0P5ZX+1&#10;CgaTZboxu9N5fN+1abvZHo6n70Sp9363nIII1IX/8Ku91gpGY3h+iT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kXFxQAAANsAAAAPAAAAAAAAAAAAAAAAAJgCAABkcnMv&#10;ZG93bnJldi54bWxQSwUGAAAAAAQABAD1AAAAigMAAAAA&#10;" fillcolor="#ffc000"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COORDENAÇÃO DO</w:t>
                        </w:r>
                      </w:p>
                      <w:p w:rsidR="00303B66" w:rsidRDefault="00303B66">
                        <w:pPr>
                          <w:overflowPunct w:val="0"/>
                          <w:jc w:val="center"/>
                        </w:pPr>
                        <w:r>
                          <w:rPr>
                            <w:rFonts w:asciiTheme="minorHAnsi" w:hAnsiTheme="minorHAnsi" w:cs="DejaVu Sans"/>
                            <w:b/>
                            <w:bCs/>
                            <w:color w:val="000000"/>
                            <w:sz w:val="22"/>
                            <w:szCs w:val="22"/>
                          </w:rPr>
                          <w:t xml:space="preserve">  CURSO TÉCNICO </w:t>
                        </w:r>
                      </w:p>
                      <w:p w:rsidR="00303B66" w:rsidRDefault="00303B66">
                        <w:pPr>
                          <w:overflowPunct w:val="0"/>
                          <w:jc w:val="center"/>
                        </w:pPr>
                        <w:r>
                          <w:rPr>
                            <w:rFonts w:asciiTheme="minorHAnsi" w:hAnsiTheme="minorHAnsi" w:cs="DejaVu Sans"/>
                            <w:b/>
                            <w:bCs/>
                            <w:color w:val="000000"/>
                            <w:sz w:val="22"/>
                            <w:szCs w:val="22"/>
                          </w:rPr>
                          <w:t>EM EVENTOS</w:t>
                        </w:r>
                      </w:p>
                    </w:txbxContent>
                  </v:textbox>
                </v:roundrect>
                <v:line id="Conector reto 36" o:spid="_x0000_s1049" style="position:absolute;visibility:visible;mso-wrap-style:square" from="3124800,3490560" to="3126240,3684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FTosMAAADbAAAADwAAAGRycy9kb3ducmV2LnhtbESPQWvCQBSE7wX/w/IEb3VjlSCpqxSh&#10;xJOg9tDjI/uabM2+jdmNRn+9Kwgeh5n5hlmseluLM7XeOFYwGScgiAunDZcKfg7f73MQPiBrrB2T&#10;git5WC0HbwvMtLvwjs77UIoIYZ+hgiqEJpPSFxVZ9GPXEEfvz7UWQ5RtKXWLlwi3tfxIklRaNBwX&#10;KmxoXVFx3HdWwfw0c93N5PS77fKDzlMj/49rpUbD/usTRKA+vMLP9kYrmKbw+BJ/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U6LDAAAA2wAAAA8AAAAAAAAAAAAA&#10;AAAAoQIAAGRycy9kb3ducmV2LnhtbFBLBQYAAAAABAAEAPkAAACRAwAAAAA=&#10;" strokecolor="#4a7ebb" strokeweight=".26mm"/>
                <v:line id="Conector reto 37" o:spid="_x0000_s1050" style="position:absolute;visibility:visible;mso-wrap-style:square" from="5241240,3497760" to="5242680,36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32OcQAAADbAAAADwAAAGRycy9kb3ducmV2LnhtbESPQWvCQBSE70L/w/IKvemmVqykrqEE&#10;SnoS1B56fGRfk63ZtzG70eivdwXB4zAz3zDLbLCNOFLnjWMFr5MEBHHptOFKwc/ua7wA4QOyxsYx&#10;KTiTh2z1NFpiqt2JN3TchkpECPsUFdQhtKmUvqzJop+4ljh6f66zGKLsKqk7PEW4beQ0SebSouG4&#10;UGNLeU3lfttbBYvDzPUXU9Dvui92upgb+b/PlXp5Hj4/QAQawiN8b39rBW/vcPsSf4B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zfY5xAAAANsAAAAPAAAAAAAAAAAA&#10;AAAAAKECAABkcnMvZG93bnJldi54bWxQSwUGAAAAAAQABAD5AAAAkgMAAAAA&#10;" strokecolor="#4a7ebb" strokeweight=".26mm"/>
                <v:line id="Conector reto 38" o:spid="_x0000_s1051" style="position:absolute;visibility:visible;mso-wrap-style:square" from="964440,3497760" to="965160,3690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JiS78AAADbAAAADwAAAGRycy9kb3ducmV2LnhtbERPTYvCMBC9C/6HMII3TV0XkWoUEaR7&#10;ElY9eByasY02k9qkWvfXbw6Cx8f7Xq47W4kHNd44VjAZJyCIc6cNFwpOx91oDsIHZI2VY1LwIg/r&#10;Vb+3xFS7J//S4xAKEUPYp6igDKFOpfR5SRb92NXEkbu4xmKIsCmkbvAZw20lv5JkJi0ajg0l1rQt&#10;Kb8dWqtgfv927Z/J6Lxvs6POZkZeb1ulhoNuswARqAsf8dv9oxVM49j4Jf4Auf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VJiS78AAADbAAAADwAAAAAAAAAAAAAAAACh&#10;AgAAZHJzL2Rvd25yZXYueG1sUEsFBgAAAAAEAAQA+QAAAI0DAAAAAA==&#10;" strokecolor="#4a7ebb" strokeweight=".26mm"/>
                <v:roundrect id="Retângulo de cantos arredondados 39" o:spid="_x0000_s1052" style="position:absolute;left:4413240;top:1797840;width:1806120;height:5295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l2F8UA&#10;AADbAAAADwAAAGRycy9kb3ducmV2LnhtbESPQWvCQBSE7wX/w/IK3uqmFkobXaUINiIImlTPz+xr&#10;Et19G7Krpv++KxR6HGbmG2Y6760RV+p841jB8ygBQVw63XCl4KtYPr2B8AFZo3FMCn7Iw3w2eJhi&#10;qt2Nd3TNQyUihH2KCuoQ2lRKX9Zk0Y9cSxy9b9dZDFF2ldQd3iLcGjlOkldpseG4UGNLi5rKc36x&#10;CrL2c3Mq8v3R7LJsvDblNj+ctkoNH/uPCYhAffgP/7VXWsHLO9y/xB8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XYXxQAAANsAAAAPAAAAAAAAAAAAAAAAAJgCAABkcnMv&#10;ZG93bnJldi54bWxQSwUGAAAAAAQABAD1AAAAigMAAAAA&#10;" fillcolor="#fac090"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COORDENAÇÃO DE PESQUISA E EXTENSÃO</w:t>
                        </w:r>
                      </w:p>
                    </w:txbxContent>
                  </v:textbox>
                </v:roundrect>
                <v:line id="Conector reto 40" o:spid="_x0000_s1053" style="position:absolute;visibility:visible;mso-wrap-style:square" from="3124800,2658600" to="3126240,3497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IdMMAAAADbAAAADwAAAGRycy9kb3ducmV2LnhtbERPTYvCMBC9C/6HMII3TRUR6ZqKCFJP&#10;wuoePA7NbBvbTGqTat1fvzks7PHxvre7wTbiSZ03jhUs5gkI4sJpw6WCr+txtgHhA7LGxjEpeJOH&#10;XTYebTHV7sWf9LyEUsQQ9ikqqEJoUyl9UZFFP3ctceS+XWcxRNiVUnf4iuG2kcskWUuLhmNDhS0d&#10;KirqS28VbB4r1/+YnG7nPr/qfG3kvT4oNZ0M+w8QgYbwL/5zn7SCVVwfv8QfILN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iHTDAAAAA2wAAAA8AAAAAAAAAAAAAAAAA&#10;oQIAAGRycy9kb3ducmV2LnhtbFBLBQYAAAAABAAEAPkAAACOAwAAAAA=&#10;" strokecolor="#4a7ebb" strokeweight=".26mm"/>
                <v:roundrect id="Retângulo de cantos arredondados 41" o:spid="_x0000_s1054" style="position:absolute;left:4425480;top:2410920;width:1806120;height:53028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a2bMQA&#10;AADbAAAADwAAAGRycy9kb3ducmV2LnhtbESP3WrCQBSE7wu+w3IEb4puEkQkuopYA14I9e8Bjtlj&#10;EsyeDdmtSfv03ULBy2FmvmGW697U4kmtqywriCcRCOLc6ooLBddLNp6DcB5ZY22ZFHyTg/Vq8LbE&#10;VNuOT/Q8+0IECLsUFZTeN6mULi/JoJvYhjh4d9sa9EG2hdQtdgFuaplE0UwarDgslNjQtqT8cf4y&#10;CvCWxNkn5h/viTz9xFm3S46HnVKjYb9ZgPDU+1f4v73XCqYx/H0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mtmzEAAAA2wAAAA8AAAAAAAAAAAAAAAAAmAIAAGRycy9k&#10;b3ducmV2LnhtbFBLBQYAAAAABAAEAPUAAACJAwAAAAA=&#10;" fillcolor="yellow" strokecolor="#3a5f8b" strokeweight=".71mm">
                  <v:textbox inset="2.5mm,1.25mm,2.5mm,1.25mm">
                    <w:txbxContent>
                      <w:p w:rsidR="00303B66" w:rsidRDefault="00303B66">
                        <w:pPr>
                          <w:overflowPunct w:val="0"/>
                          <w:jc w:val="center"/>
                        </w:pPr>
                        <w:r>
                          <w:rPr>
                            <w:rFonts w:asciiTheme="minorHAnsi" w:hAnsiTheme="minorHAnsi" w:cs="DejaVu Sans"/>
                            <w:b/>
                            <w:bCs/>
                            <w:color w:val="000000"/>
                            <w:sz w:val="22"/>
                            <w:szCs w:val="22"/>
                          </w:rPr>
                          <w:t xml:space="preserve"> ASSISTÊNCIA ESTUDANTIL E AÇÕES INCLUSIVAS</w:t>
                        </w:r>
                      </w:p>
                    </w:txbxContent>
                  </v:textbox>
                </v:roundrect>
                <v:line id="Conector reto 42" o:spid="_x0000_s1055" style="position:absolute;visibility:visible;mso-wrap-style:square" from="4110480,1190160" to="4357440,1190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wm3MIAAADbAAAADwAAAGRycy9kb3ducmV2LnhtbESPT4vCMBTE74LfITzBm6aKiHSNsghL&#10;9yT45+Dx0bxtszYvtUm1+umNIHgcZuY3zHLd2UpcqfHGsYLJOAFBnDttuFBwPPyMFiB8QNZYOSYF&#10;d/KwXvV7S0y1u/GOrvtQiAhhn6KCMoQ6ldLnJVn0Y1cTR+/PNRZDlE0hdYO3CLeVnCbJXFo0HBdK&#10;rGlTUn7et1bB4jJz7cNkdNq22UFncyP/zxulhoPu+wtEoC58wu/2r1Ywm8LrS/w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wm3MIAAADbAAAADwAAAAAAAAAAAAAA&#10;AAChAgAAZHJzL2Rvd25yZXYueG1sUEsFBgAAAAAEAAQA+QAAAJADAAAAAA==&#10;" strokecolor="#4a7ebb" strokeweight=".26mm"/>
                <v:line id="Conector reto 43" o:spid="_x0000_s1056" style="position:absolute;visibility:visible;mso-wrap-style:square" from="4185360,2075760" to="4186080,2657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R8MAAADbAAAADwAAAGRycy9kb3ducmV2LnhtbESPT4vCMBTE7wv7HcJb2Nua6opI1ygi&#10;SD0J/jns8dE822jzUptUq5/eCILHYWZ+w0xmna3EhRpvHCvo9xIQxLnThgsF+93yZwzCB2SNlWNS&#10;cCMPs+nnxwRT7a68ocs2FCJC2KeooAyhTqX0eUkWfc/VxNE7uMZiiLIppG7wGuG2koMkGUmLhuNC&#10;iTUtSspP29YqGJ+Hrr2bjP7XbbbT2cjI42mh1PdXN/8DEagL7/CrvdIKhr/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wg0fDAAAA2wAAAA8AAAAAAAAAAAAA&#10;AAAAoQIAAGRycy9kb3ducmV2LnhtbFBLBQYAAAAABAAEAPkAAACRAwAAAAA=&#10;" strokecolor="#4a7ebb" strokeweight=".26mm"/>
                <v:line id="Conector reto 44" o:spid="_x0000_s1057" style="position:absolute;visibility:visible;mso-wrap-style:square" from="4180320,2660040" to="4399920,2660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kbM8IAAADbAAAADwAAAGRycy9kb3ducmV2LnhtbESPQYvCMBSE7wv+h/AEb2u6UkSqURZB&#10;6klY9eDx0bxtszYvtUm1+us3guBxmJlvmMWqt7W4UuuNYwVf4wQEceG04VLB8bD5nIHwAVlj7ZgU&#10;3MnDajn4WGCm3Y1/6LoPpYgQ9hkqqEJoMil9UZFFP3YNcfR+XWsxRNmWUrd4i3Bby0mSTKVFw3Gh&#10;wobWFRXnfWcVzC6p6x4mp9Ouyw86nxr5d14rNRr233MQgfrwDr/aW60gTeH5Jf4A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kbM8IAAADbAAAADwAAAAAAAAAAAAAA&#10;AAChAgAAZHJzL2Rvd25yZXYueG1sUEsFBgAAAAAEAAQA+QAAAJADAAAAAA==&#10;" strokecolor="#4a7ebb" strokeweight=".26mm"/>
              </v:group>
            </w:pict>
          </mc:Fallback>
        </mc:AlternateContent>
      </w: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762C45">
      <w:pPr>
        <w:widowControl/>
        <w:tabs>
          <w:tab w:val="left" w:pos="284"/>
          <w:tab w:val="center" w:pos="5323"/>
          <w:tab w:val="left" w:pos="8655"/>
        </w:tabs>
        <w:spacing w:line="276" w:lineRule="auto"/>
        <w:jc w:val="center"/>
        <w:rPr>
          <w:b/>
          <w:sz w:val="22"/>
          <w:szCs w:val="22"/>
        </w:rPr>
      </w:pPr>
    </w:p>
    <w:p w:rsidR="00762C45" w:rsidRDefault="00303B66">
      <w:pPr>
        <w:widowControl/>
        <w:tabs>
          <w:tab w:val="left" w:pos="284"/>
          <w:tab w:val="center" w:pos="5323"/>
          <w:tab w:val="left" w:pos="8655"/>
        </w:tabs>
        <w:spacing w:line="276" w:lineRule="auto"/>
        <w:jc w:val="center"/>
        <w:sectPr w:rsidR="00762C45">
          <w:headerReference w:type="default" r:id="rId18"/>
          <w:pgSz w:w="12240" w:h="15840"/>
          <w:pgMar w:top="1440" w:right="1080" w:bottom="1418" w:left="1080" w:header="0" w:footer="0" w:gutter="0"/>
          <w:cols w:space="720"/>
          <w:formProt w:val="0"/>
          <w:docGrid w:linePitch="326" w:charSpace="-6145"/>
        </w:sectPr>
      </w:pPr>
      <w:r>
        <w:rPr>
          <w:b/>
          <w:sz w:val="22"/>
          <w:szCs w:val="22"/>
        </w:rPr>
        <w:t>Figur</w:t>
      </w:r>
      <w:bookmarkStart w:id="72" w:name="_Toc474391077"/>
      <w:bookmarkEnd w:id="72"/>
      <w:r>
        <w:rPr>
          <w:b/>
          <w:sz w:val="22"/>
          <w:szCs w:val="22"/>
        </w:rPr>
        <w:t xml:space="preserve">a </w:t>
      </w:r>
      <w:r>
        <w:rPr>
          <w:b/>
          <w:sz w:val="22"/>
          <w:szCs w:val="22"/>
        </w:rPr>
        <w:fldChar w:fldCharType="begin"/>
      </w:r>
      <w:r>
        <w:instrText>SEQ Figura \* ARABIC</w:instrText>
      </w:r>
      <w:r>
        <w:fldChar w:fldCharType="separate"/>
      </w:r>
      <w:r>
        <w:rPr>
          <w:noProof/>
        </w:rPr>
        <w:t>1</w:t>
      </w:r>
      <w:r>
        <w:fldChar w:fldCharType="end"/>
      </w:r>
      <w:r>
        <w:rPr>
          <w:b/>
          <w:sz w:val="22"/>
          <w:szCs w:val="22"/>
        </w:rPr>
        <w:t>. Organograma atual do Campus Avançado Vigia</w:t>
      </w:r>
    </w:p>
    <w:p w:rsidR="00762C45" w:rsidRDefault="00762C45">
      <w:pPr>
        <w:widowControl/>
        <w:tabs>
          <w:tab w:val="left" w:pos="284"/>
          <w:tab w:val="center" w:pos="5323"/>
          <w:tab w:val="left" w:pos="8655"/>
        </w:tabs>
        <w:spacing w:line="276" w:lineRule="auto"/>
        <w:jc w:val="center"/>
        <w:rPr>
          <w:b/>
          <w:sz w:val="22"/>
          <w:szCs w:val="22"/>
        </w:rPr>
      </w:pPr>
    </w:p>
    <w:p w:rsidR="00762C45" w:rsidRDefault="00303B66">
      <w:pPr>
        <w:pStyle w:val="Legenda"/>
        <w:keepNext/>
        <w:spacing w:before="0" w:after="0" w:line="240" w:lineRule="auto"/>
        <w:ind w:left="0" w:firstLine="567"/>
        <w:jc w:val="center"/>
      </w:pPr>
      <w:bookmarkStart w:id="73" w:name="_Toc474391116"/>
      <w:r>
        <w:rPr>
          <w:rFonts w:ascii="Times New Roman" w:hAnsi="Times New Roman" w:cs="Times New Roman"/>
          <w:b/>
          <w:i w:val="0"/>
          <w:sz w:val="20"/>
          <w:szCs w:val="20"/>
        </w:rPr>
        <w:t>Q</w:t>
      </w:r>
      <w:bookmarkStart w:id="74" w:name="_Toc472974286"/>
      <w:r>
        <w:rPr>
          <w:rFonts w:ascii="Times New Roman" w:hAnsi="Times New Roman" w:cs="Times New Roman"/>
          <w:b/>
          <w:i w:val="0"/>
          <w:sz w:val="20"/>
          <w:szCs w:val="20"/>
        </w:rPr>
        <w:t xml:space="preserve">uadro </w:t>
      </w:r>
      <w:r>
        <w:rPr>
          <w:rFonts w:ascii="Times New Roman" w:hAnsi="Times New Roman" w:cs="Times New Roman"/>
          <w:b/>
          <w:i w:val="0"/>
          <w:sz w:val="20"/>
          <w:szCs w:val="20"/>
        </w:rPr>
        <w:fldChar w:fldCharType="begin"/>
      </w:r>
      <w:r>
        <w:instrText>SEQ Quadro \* ARABIC</w:instrText>
      </w:r>
      <w:r>
        <w:fldChar w:fldCharType="separate"/>
      </w:r>
      <w:r>
        <w:rPr>
          <w:noProof/>
        </w:rPr>
        <w:t>8</w:t>
      </w:r>
      <w:r>
        <w:fldChar w:fldCharType="end"/>
      </w:r>
      <w:bookmarkEnd w:id="73"/>
      <w:bookmarkEnd w:id="74"/>
      <w:r>
        <w:rPr>
          <w:rFonts w:ascii="Times New Roman" w:hAnsi="Times New Roman" w:cs="Times New Roman"/>
          <w:b/>
          <w:i w:val="0"/>
          <w:sz w:val="20"/>
          <w:szCs w:val="20"/>
        </w:rPr>
        <w:t>. Informações sobre áreas ou subunidades estratégicas do CAV</w:t>
      </w:r>
    </w:p>
    <w:p w:rsidR="00762C45" w:rsidRDefault="00762C45">
      <w:pPr>
        <w:pStyle w:val="Legenda"/>
        <w:keepNext/>
        <w:spacing w:before="0" w:after="0" w:line="240" w:lineRule="auto"/>
        <w:ind w:left="0"/>
        <w:jc w:val="center"/>
        <w:rPr>
          <w:rFonts w:ascii="Times New Roman" w:hAnsi="Times New Roman" w:cs="Times New Roman"/>
          <w:b/>
          <w:i w:val="0"/>
          <w:sz w:val="20"/>
          <w:szCs w:val="20"/>
        </w:rPr>
      </w:pPr>
    </w:p>
    <w:tbl>
      <w:tblPr>
        <w:tblW w:w="15135" w:type="dxa"/>
        <w:tblInd w:w="-21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1628"/>
        <w:gridCol w:w="6803"/>
        <w:gridCol w:w="1559"/>
        <w:gridCol w:w="1633"/>
        <w:gridCol w:w="1080"/>
        <w:gridCol w:w="1066"/>
        <w:gridCol w:w="1366"/>
      </w:tblGrid>
      <w:tr w:rsidR="00762C45">
        <w:trPr>
          <w:trHeight w:val="1040"/>
        </w:trPr>
        <w:tc>
          <w:tcPr>
            <w:tcW w:w="162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762C45">
            <w:pPr>
              <w:tabs>
                <w:tab w:val="left" w:pos="426"/>
              </w:tabs>
              <w:spacing w:line="276" w:lineRule="auto"/>
              <w:jc w:val="center"/>
              <w:rPr>
                <w:b/>
                <w:bCs/>
                <w:sz w:val="20"/>
                <w:szCs w:val="20"/>
              </w:rPr>
            </w:pPr>
          </w:p>
          <w:p w:rsidR="00762C45" w:rsidRDefault="00303B66">
            <w:pPr>
              <w:tabs>
                <w:tab w:val="left" w:pos="426"/>
              </w:tabs>
              <w:spacing w:line="276" w:lineRule="auto"/>
              <w:jc w:val="center"/>
              <w:rPr>
                <w:sz w:val="20"/>
                <w:szCs w:val="20"/>
              </w:rPr>
            </w:pPr>
            <w:r>
              <w:rPr>
                <w:b/>
                <w:bCs/>
                <w:sz w:val="20"/>
                <w:szCs w:val="20"/>
              </w:rPr>
              <w:t>Função</w:t>
            </w:r>
          </w:p>
          <w:p w:rsidR="00762C45" w:rsidRDefault="00762C45">
            <w:pPr>
              <w:tabs>
                <w:tab w:val="left" w:pos="426"/>
              </w:tabs>
              <w:spacing w:line="276" w:lineRule="auto"/>
              <w:jc w:val="center"/>
              <w:rPr>
                <w:b/>
                <w:bCs/>
                <w:sz w:val="20"/>
                <w:szCs w:val="20"/>
              </w:rPr>
            </w:pPr>
          </w:p>
        </w:tc>
        <w:tc>
          <w:tcPr>
            <w:tcW w:w="6803"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tabs>
                <w:tab w:val="left" w:pos="426"/>
              </w:tabs>
              <w:spacing w:line="276" w:lineRule="auto"/>
              <w:jc w:val="center"/>
              <w:rPr>
                <w:sz w:val="20"/>
                <w:szCs w:val="20"/>
              </w:rPr>
            </w:pPr>
            <w:r>
              <w:rPr>
                <w:b/>
                <w:bCs/>
                <w:sz w:val="20"/>
                <w:szCs w:val="20"/>
              </w:rPr>
              <w:t>Atribuições</w:t>
            </w:r>
          </w:p>
        </w:tc>
        <w:tc>
          <w:tcPr>
            <w:tcW w:w="1559"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tabs>
                <w:tab w:val="left" w:pos="426"/>
              </w:tabs>
              <w:spacing w:line="276" w:lineRule="auto"/>
              <w:jc w:val="center"/>
              <w:rPr>
                <w:sz w:val="20"/>
                <w:szCs w:val="20"/>
              </w:rPr>
            </w:pPr>
            <w:r>
              <w:rPr>
                <w:b/>
                <w:bCs/>
                <w:sz w:val="20"/>
                <w:szCs w:val="20"/>
              </w:rPr>
              <w:t>Nome do Titular</w:t>
            </w:r>
          </w:p>
        </w:tc>
        <w:tc>
          <w:tcPr>
            <w:tcW w:w="1633"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tabs>
                <w:tab w:val="left" w:pos="426"/>
              </w:tabs>
              <w:spacing w:line="276" w:lineRule="auto"/>
              <w:jc w:val="center"/>
            </w:pPr>
            <w:r>
              <w:rPr>
                <w:b/>
                <w:bCs/>
                <w:sz w:val="20"/>
                <w:szCs w:val="20"/>
              </w:rPr>
              <w:t>Cargo</w:t>
            </w:r>
          </w:p>
        </w:tc>
        <w:tc>
          <w:tcPr>
            <w:tcW w:w="1080"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tabs>
                <w:tab w:val="left" w:pos="426"/>
              </w:tabs>
              <w:spacing w:line="276" w:lineRule="auto"/>
              <w:jc w:val="center"/>
              <w:rPr>
                <w:sz w:val="20"/>
                <w:szCs w:val="20"/>
              </w:rPr>
            </w:pPr>
            <w:r>
              <w:rPr>
                <w:b/>
                <w:bCs/>
                <w:sz w:val="20"/>
                <w:szCs w:val="20"/>
              </w:rPr>
              <w:t>SIAPE</w:t>
            </w:r>
          </w:p>
        </w:tc>
        <w:tc>
          <w:tcPr>
            <w:tcW w:w="1066"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tabs>
                <w:tab w:val="left" w:pos="426"/>
              </w:tabs>
              <w:spacing w:line="276" w:lineRule="auto"/>
              <w:jc w:val="center"/>
              <w:rPr>
                <w:sz w:val="20"/>
                <w:szCs w:val="20"/>
              </w:rPr>
            </w:pPr>
            <w:r>
              <w:rPr>
                <w:b/>
                <w:bCs/>
                <w:sz w:val="20"/>
                <w:szCs w:val="20"/>
              </w:rPr>
              <w:t>Data de ingresso na função</w:t>
            </w:r>
          </w:p>
        </w:tc>
        <w:tc>
          <w:tcPr>
            <w:tcW w:w="1366"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tabs>
                <w:tab w:val="left" w:pos="426"/>
              </w:tabs>
              <w:spacing w:line="276" w:lineRule="auto"/>
              <w:jc w:val="center"/>
              <w:rPr>
                <w:sz w:val="20"/>
                <w:szCs w:val="20"/>
              </w:rPr>
            </w:pPr>
            <w:r>
              <w:rPr>
                <w:b/>
                <w:bCs/>
                <w:sz w:val="20"/>
                <w:szCs w:val="20"/>
              </w:rPr>
              <w:t>Nº da Portaria de Nomeação</w:t>
            </w:r>
          </w:p>
        </w:tc>
      </w:tr>
      <w:tr w:rsidR="00762C45">
        <w:trPr>
          <w:trHeight w:val="1423"/>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Direção Geral</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 xml:space="preserve">Implementar a Política Educacional definida pelo MEC e pelas instâncias superiores do IFPA; administrar as atividades do </w:t>
            </w:r>
            <w:r>
              <w:rPr>
                <w:i/>
                <w:sz w:val="20"/>
                <w:szCs w:val="20"/>
              </w:rPr>
              <w:t>campus</w:t>
            </w:r>
            <w:r>
              <w:rPr>
                <w:sz w:val="20"/>
                <w:szCs w:val="20"/>
              </w:rPr>
              <w:t xml:space="preserve">; elaborar proposta sobre a estrutura e funcionamento do </w:t>
            </w:r>
            <w:r>
              <w:rPr>
                <w:i/>
                <w:sz w:val="20"/>
                <w:szCs w:val="20"/>
              </w:rPr>
              <w:t>campus</w:t>
            </w:r>
            <w:r>
              <w:rPr>
                <w:sz w:val="20"/>
                <w:szCs w:val="20"/>
              </w:rPr>
              <w:t xml:space="preserve">; coordenar os processos de planejamento e avaliação do </w:t>
            </w:r>
            <w:r>
              <w:rPr>
                <w:i/>
                <w:sz w:val="20"/>
                <w:szCs w:val="20"/>
              </w:rPr>
              <w:t>campus</w:t>
            </w:r>
            <w:r>
              <w:rPr>
                <w:sz w:val="20"/>
                <w:szCs w:val="20"/>
              </w:rPr>
              <w:t>; presidir, quando designado pelo Reitor, atos de colação de grau e entrega de títulos e prêmios; convocar eleição de representantes docentes, discentes e técnico-administrativos.</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Solange Felicidade Marques Ferreira</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Diretora Geral</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0388495</w:t>
            </w:r>
          </w:p>
          <w:p w:rsidR="00762C45" w:rsidRDefault="00762C45">
            <w:pPr>
              <w:spacing w:before="120" w:after="120"/>
              <w:ind w:left="57" w:right="57"/>
              <w:rPr>
                <w:sz w:val="20"/>
                <w:szCs w:val="20"/>
              </w:rPr>
            </w:pPr>
          </w:p>
          <w:p w:rsidR="00762C45" w:rsidRDefault="00762C45">
            <w:pPr>
              <w:spacing w:before="120" w:after="120"/>
              <w:ind w:left="57" w:right="57"/>
              <w:rPr>
                <w:sz w:val="20"/>
                <w:szCs w:val="20"/>
              </w:rPr>
            </w:pP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18/06/2014</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widowControl/>
              <w:tabs>
                <w:tab w:val="left" w:pos="284"/>
                <w:tab w:val="center" w:pos="5323"/>
                <w:tab w:val="left" w:pos="8655"/>
              </w:tabs>
              <w:spacing w:before="120" w:after="120"/>
              <w:ind w:left="57" w:right="57"/>
              <w:jc w:val="center"/>
              <w:rPr>
                <w:b/>
                <w:sz w:val="22"/>
              </w:rPr>
            </w:pPr>
            <w:r>
              <w:rPr>
                <w:sz w:val="20"/>
                <w:szCs w:val="20"/>
              </w:rPr>
              <w:t>972/2014 –GAB/Reitoria</w:t>
            </w:r>
          </w:p>
          <w:p w:rsidR="00762C45" w:rsidRDefault="00762C45">
            <w:pPr>
              <w:tabs>
                <w:tab w:val="left" w:pos="426"/>
              </w:tabs>
              <w:spacing w:before="120" w:after="120"/>
              <w:ind w:left="57" w:right="57"/>
              <w:jc w:val="center"/>
              <w:rPr>
                <w:sz w:val="20"/>
                <w:szCs w:val="20"/>
              </w:rPr>
            </w:pPr>
          </w:p>
        </w:tc>
      </w:tr>
      <w:tr w:rsidR="00762C45">
        <w:trPr>
          <w:trHeight w:val="1242"/>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Diretoria de Ensino, Pesquisa e Extensão</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Planejar, coordenar, acompanhar e avaliar as atividades de ensino, pesquisa e extensão do CAV; promover ações de extensão que garantam a sua articulação com o Ensino; organizar, executar e acompanhar os serviços de produção de material didático, registros escolares, expedição de documentos e da biblioteca.</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Vanilda de Magalhães Martins Vasconcelos</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Diretora de Ensino</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1892832</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14/08/2014</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1284/2014 - GAB/Reitoria</w:t>
            </w:r>
          </w:p>
        </w:tc>
      </w:tr>
      <w:tr w:rsidR="00762C45">
        <w:trPr>
          <w:trHeight w:val="1025"/>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Assessoria de Comunicação - ASCOM</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Assessorar a Direção Geral na organização, coordenação, execução e avaliação de atividades de comunicação, cultura, esporte e lazer</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Maraisa Andrade de Castro</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Assessora de Comunicação</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3894477</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06/01/2016</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1793/2016 – GAB/Reitoria</w:t>
            </w:r>
          </w:p>
        </w:tc>
      </w:tr>
      <w:tr w:rsidR="00762C45">
        <w:trPr>
          <w:trHeight w:val="1700"/>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Coordenação de Tecnologia da Informação</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 xml:space="preserve">Planejar, coordenar e avaliar as ações em desenvolvimento no âmbito da Coordenação de TI; identificar as necessidades estratégicas do </w:t>
            </w:r>
            <w:r>
              <w:rPr>
                <w:i/>
                <w:sz w:val="20"/>
                <w:szCs w:val="20"/>
              </w:rPr>
              <w:t>campus</w:t>
            </w:r>
            <w:r>
              <w:rPr>
                <w:sz w:val="20"/>
                <w:szCs w:val="20"/>
              </w:rPr>
              <w:t xml:space="preserve"> quanto às demandas de TI; compatibilizar projetos da área de TI com o Planejamento Institucional; assegurar o alinhamento de TI com os requerimentos externos; propor a atualização tecnológica, de equipamentos e sistemas; definir a arquitetura da informação e gerenciar os incidentes de segurança da informação.</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Demetrius Simonassi Resende</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Coordenador de TI</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1912451</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pPr>
            <w:r>
              <w:rPr>
                <w:sz w:val="20"/>
                <w:szCs w:val="20"/>
              </w:rPr>
              <w:t>20/04/2016</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pPr>
            <w:r>
              <w:rPr>
                <w:sz w:val="20"/>
                <w:szCs w:val="20"/>
              </w:rPr>
              <w:t>684/2016 – GAB/Reitoria</w:t>
            </w:r>
          </w:p>
        </w:tc>
      </w:tr>
      <w:tr w:rsidR="00762C45">
        <w:trPr>
          <w:trHeight w:val="854"/>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both"/>
              <w:rPr>
                <w:sz w:val="20"/>
                <w:szCs w:val="20"/>
              </w:rPr>
            </w:pPr>
            <w:r>
              <w:rPr>
                <w:sz w:val="20"/>
                <w:szCs w:val="20"/>
              </w:rPr>
              <w:t>Coordenação de Pesquisa e Extensão</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both"/>
              <w:rPr>
                <w:sz w:val="20"/>
                <w:szCs w:val="20"/>
              </w:rPr>
            </w:pPr>
            <w:r>
              <w:rPr>
                <w:sz w:val="20"/>
                <w:szCs w:val="20"/>
              </w:rPr>
              <w:t>Planejar, coordenar, acompanhar e avaliar as atividades de pesquisa e extensão do CAV</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both"/>
              <w:rPr>
                <w:sz w:val="20"/>
                <w:szCs w:val="20"/>
              </w:rPr>
            </w:pPr>
            <w:r>
              <w:rPr>
                <w:sz w:val="20"/>
                <w:szCs w:val="20"/>
              </w:rPr>
              <w:t>Keila Renata Moreira Mourão</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both"/>
              <w:rPr>
                <w:sz w:val="20"/>
                <w:szCs w:val="20"/>
              </w:rPr>
            </w:pPr>
            <w:r>
              <w:rPr>
                <w:sz w:val="20"/>
                <w:szCs w:val="20"/>
              </w:rPr>
              <w:t>Coordenadora de Pesquisa e Extensão</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center"/>
              <w:rPr>
                <w:sz w:val="20"/>
                <w:szCs w:val="20"/>
              </w:rPr>
            </w:pPr>
            <w:r>
              <w:rPr>
                <w:sz w:val="20"/>
                <w:szCs w:val="20"/>
              </w:rPr>
              <w:t>2269563</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center"/>
              <w:rPr>
                <w:sz w:val="20"/>
                <w:szCs w:val="20"/>
              </w:rPr>
            </w:pPr>
            <w:r>
              <w:rPr>
                <w:sz w:val="20"/>
                <w:szCs w:val="20"/>
              </w:rPr>
              <w:t>02/08/2016</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center"/>
              <w:rPr>
                <w:sz w:val="20"/>
                <w:szCs w:val="20"/>
              </w:rPr>
            </w:pPr>
            <w:r>
              <w:rPr>
                <w:sz w:val="20"/>
                <w:szCs w:val="20"/>
              </w:rPr>
              <w:t>1270/2016 – GAB/Reitoria</w:t>
            </w:r>
          </w:p>
        </w:tc>
      </w:tr>
      <w:tr w:rsidR="00762C45">
        <w:trPr>
          <w:trHeight w:val="1075"/>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both"/>
              <w:rPr>
                <w:sz w:val="20"/>
                <w:szCs w:val="20"/>
              </w:rPr>
            </w:pPr>
            <w:r>
              <w:rPr>
                <w:sz w:val="20"/>
                <w:szCs w:val="20"/>
              </w:rPr>
              <w:t>Registro e Indicadores Acadêmicos</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both"/>
              <w:rPr>
                <w:rFonts w:eastAsiaTheme="minorHAnsi"/>
                <w:sz w:val="20"/>
                <w:szCs w:val="20"/>
              </w:rPr>
            </w:pPr>
            <w:r>
              <w:rPr>
                <w:rFonts w:eastAsiaTheme="minorHAnsi"/>
                <w:sz w:val="20"/>
                <w:szCs w:val="20"/>
              </w:rPr>
              <w:t xml:space="preserve">Realizar o controle acadêmico dos cursos; manter atualizado o SIGAA incluindo registro de frequência e rendimento dos alunos; responder aos censos educacionais da Educação Profissional e Tecnológica; Concessão de histórico escolar e emissão de certificados e diplomas </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both"/>
              <w:rPr>
                <w:sz w:val="20"/>
                <w:szCs w:val="20"/>
              </w:rPr>
            </w:pPr>
            <w:r>
              <w:rPr>
                <w:sz w:val="20"/>
                <w:szCs w:val="20"/>
              </w:rPr>
              <w:t>Sabrina Bianca da Silva Alves</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both"/>
              <w:rPr>
                <w:sz w:val="20"/>
                <w:szCs w:val="20"/>
              </w:rPr>
            </w:pPr>
            <w:r>
              <w:rPr>
                <w:sz w:val="20"/>
                <w:szCs w:val="20"/>
              </w:rPr>
              <w:t>Secretária Acadêmica</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center"/>
              <w:rPr>
                <w:sz w:val="20"/>
                <w:szCs w:val="20"/>
              </w:rPr>
            </w:pPr>
            <w:r>
              <w:rPr>
                <w:sz w:val="20"/>
                <w:szCs w:val="20"/>
              </w:rPr>
              <w:t>2347171</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center"/>
              <w:rPr>
                <w:sz w:val="20"/>
                <w:szCs w:val="20"/>
              </w:rPr>
            </w:pPr>
            <w:r>
              <w:rPr>
                <w:sz w:val="20"/>
                <w:szCs w:val="20"/>
              </w:rPr>
              <w:t>07/12/2016</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57" w:after="57"/>
              <w:ind w:left="57" w:right="57"/>
              <w:jc w:val="center"/>
              <w:rPr>
                <w:sz w:val="20"/>
                <w:szCs w:val="20"/>
              </w:rPr>
            </w:pPr>
            <w:r>
              <w:rPr>
                <w:sz w:val="20"/>
                <w:szCs w:val="20"/>
              </w:rPr>
              <w:t>061/2016 – CAV/IFPA</w:t>
            </w:r>
          </w:p>
        </w:tc>
      </w:tr>
      <w:tr w:rsidR="00762C45">
        <w:trPr>
          <w:trHeight w:val="1"/>
        </w:trPr>
        <w:tc>
          <w:tcPr>
            <w:tcW w:w="1627" w:type="dxa"/>
            <w:vMerge w:val="restart"/>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lastRenderedPageBreak/>
              <w:t>Assistência Estudantil e Ações Inclusivas</w:t>
            </w:r>
          </w:p>
        </w:tc>
        <w:tc>
          <w:tcPr>
            <w:tcW w:w="6803" w:type="dxa"/>
            <w:vMerge w:val="restart"/>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rFonts w:eastAsiaTheme="minorHAnsi"/>
                <w:sz w:val="20"/>
                <w:szCs w:val="20"/>
              </w:rPr>
              <w:t>Implantar ações que promovam o acesso, a permanência e o êxito dos estudantes, na perspectiva de inclusão social, formação ampliada, produção de conhecimento, melhoria do desempenho escolar e da qualidade de vida, agindo preventivamente nas situações de repetência e evasão.</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 xml:space="preserve">Claudete Bezerra Ferreira </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Assistente de Aluno</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2180799</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04/12/2014</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1776/2014-GAB/Reitoria</w:t>
            </w:r>
          </w:p>
        </w:tc>
      </w:tr>
      <w:tr w:rsidR="00762C45">
        <w:trPr>
          <w:trHeight w:val="1"/>
        </w:trPr>
        <w:tc>
          <w:tcPr>
            <w:tcW w:w="1627" w:type="dxa"/>
            <w:vMerge/>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762C45">
            <w:pPr>
              <w:tabs>
                <w:tab w:val="left" w:pos="426"/>
              </w:tabs>
              <w:spacing w:before="60" w:after="60"/>
              <w:ind w:left="57" w:right="57"/>
              <w:jc w:val="both"/>
              <w:rPr>
                <w:sz w:val="20"/>
                <w:szCs w:val="20"/>
              </w:rPr>
            </w:pPr>
          </w:p>
        </w:tc>
        <w:tc>
          <w:tcPr>
            <w:tcW w:w="6803" w:type="dxa"/>
            <w:vMerge/>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762C45">
            <w:pPr>
              <w:tabs>
                <w:tab w:val="left" w:pos="426"/>
              </w:tabs>
              <w:spacing w:before="60" w:after="60"/>
              <w:ind w:left="57" w:right="57"/>
              <w:jc w:val="both"/>
              <w:rPr>
                <w:sz w:val="20"/>
                <w:szCs w:val="20"/>
              </w:rPr>
            </w:pP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Vânia Castelo Costa Dornelles</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Assistente de Aluno</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2344766</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16/11/2016</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2073/2016-GAB</w:t>
            </w:r>
          </w:p>
        </w:tc>
      </w:tr>
      <w:tr w:rsidR="00762C45">
        <w:trPr>
          <w:trHeight w:val="1"/>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Coordenação do curso técnico subsequente em Eventos</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Planejar, acompanhar e avaliar as atividades do curso de Eventos, organizar e supervisionar a produção de materiais didáticos e audiovisuais.</w:t>
            </w:r>
          </w:p>
          <w:p w:rsidR="00762C45" w:rsidRDefault="00762C45">
            <w:pPr>
              <w:tabs>
                <w:tab w:val="left" w:pos="426"/>
              </w:tabs>
              <w:spacing w:before="120" w:after="120"/>
              <w:ind w:left="57" w:right="57"/>
              <w:jc w:val="both"/>
              <w:rPr>
                <w:sz w:val="20"/>
                <w:szCs w:val="20"/>
              </w:rPr>
            </w:pP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Liliane Amanda Oliveira das Dores</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Coordenadora do curso técnico subsequente em Eventos</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1828410</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21/06/2016</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pPr>
            <w:r>
              <w:rPr>
                <w:sz w:val="20"/>
                <w:szCs w:val="20"/>
              </w:rPr>
              <w:t>1049/2016 – GAB/Reitoria</w:t>
            </w:r>
          </w:p>
        </w:tc>
      </w:tr>
      <w:tr w:rsidR="00762C45">
        <w:trPr>
          <w:trHeight w:val="1"/>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Coordenação do curso técnico subsequente em Informática</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Planejar, acompanhar e avaliar as atividades do curso de Informática e organizar e supervisionar a produção de materiais didáticos e audiovisuais</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Amanda Cristiani da Silva Costa</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Coordenadora do curso técnico subsequente em Informática</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1330383</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03/01/2017</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pPr>
            <w:r>
              <w:rPr>
                <w:sz w:val="20"/>
                <w:szCs w:val="20"/>
              </w:rPr>
              <w:t>010/2017 – GAB/Reitoria</w:t>
            </w:r>
          </w:p>
        </w:tc>
      </w:tr>
      <w:tr w:rsidR="00762C45">
        <w:trPr>
          <w:trHeight w:val="1"/>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Coordenação do curso técnico subsequente em Recurso Pesqueiros</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Planejar, acompanhar e avaliar as atividades do curso de Recursos Pesqueiros e organizar e supervisionar a produção de materiais didáticos e audiovisuais.</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Ylana Priscila da Costa Melo Carvalho</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pPr>
            <w:r>
              <w:rPr>
                <w:sz w:val="20"/>
                <w:szCs w:val="20"/>
              </w:rPr>
              <w:t>Coordenadora do curso técnico subsequente em Recurso Pesqueiros</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2900998</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21/06/2016</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pPr>
            <w:r>
              <w:rPr>
                <w:sz w:val="20"/>
                <w:szCs w:val="20"/>
              </w:rPr>
              <w:t>1048/2016 – GAB/Reitoria</w:t>
            </w:r>
          </w:p>
        </w:tc>
      </w:tr>
      <w:tr w:rsidR="00762C45">
        <w:trPr>
          <w:trHeight w:val="1"/>
        </w:trPr>
        <w:tc>
          <w:tcPr>
            <w:tcW w:w="162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Biblioteca</w:t>
            </w:r>
          </w:p>
        </w:tc>
        <w:tc>
          <w:tcPr>
            <w:tcW w:w="680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highlight w:val="yellow"/>
              </w:rPr>
            </w:pPr>
            <w:r>
              <w:rPr>
                <w:sz w:val="20"/>
                <w:szCs w:val="20"/>
              </w:rPr>
              <w:t>Disponibilizar informação, gerenciar unidades como bibliotecas, centros de documentação, centros de informação e correlatos, além de redes e sistemas de informação, tratar tecnicamente e desenvolver recursos informacionais, disseminar informação com o objetivo de facilitar o acesso e geração do conhecimento, desenvolver estudos e pesquisas, promover difusão cultural, desenvolver ações educativas, assessorar nas atividades de ensino, pesquisa e extensão.</w:t>
            </w:r>
          </w:p>
        </w:tc>
        <w:tc>
          <w:tcPr>
            <w:tcW w:w="155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Kleise Oeiras de Almeida</w:t>
            </w:r>
          </w:p>
        </w:tc>
        <w:tc>
          <w:tcPr>
            <w:tcW w:w="1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both"/>
              <w:rPr>
                <w:sz w:val="20"/>
                <w:szCs w:val="20"/>
              </w:rPr>
            </w:pPr>
            <w:r>
              <w:rPr>
                <w:sz w:val="20"/>
                <w:szCs w:val="20"/>
              </w:rPr>
              <w:t>Bibliotecária</w:t>
            </w:r>
          </w:p>
        </w:tc>
        <w:tc>
          <w:tcPr>
            <w:tcW w:w="108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1820108</w:t>
            </w:r>
          </w:p>
        </w:tc>
        <w:tc>
          <w:tcPr>
            <w:tcW w:w="10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14/12/2016</w:t>
            </w:r>
          </w:p>
        </w:tc>
        <w:tc>
          <w:tcPr>
            <w:tcW w:w="13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tabs>
                <w:tab w:val="left" w:pos="426"/>
              </w:tabs>
              <w:spacing w:before="120" w:after="120"/>
              <w:ind w:left="57" w:right="57"/>
              <w:jc w:val="center"/>
              <w:rPr>
                <w:sz w:val="20"/>
                <w:szCs w:val="20"/>
              </w:rPr>
            </w:pPr>
            <w:r>
              <w:rPr>
                <w:sz w:val="20"/>
                <w:szCs w:val="20"/>
              </w:rPr>
              <w:t>2244/2016 – GAB/Reitoria</w:t>
            </w:r>
          </w:p>
        </w:tc>
      </w:tr>
    </w:tbl>
    <w:p w:rsidR="00762C45" w:rsidRDefault="00762C45">
      <w:pPr>
        <w:sectPr w:rsidR="00762C45">
          <w:headerReference w:type="default" r:id="rId19"/>
          <w:pgSz w:w="16838" w:h="11906" w:orient="landscape"/>
          <w:pgMar w:top="1134" w:right="1134" w:bottom="1134" w:left="1134" w:header="0" w:footer="0" w:gutter="0"/>
          <w:cols w:space="720"/>
          <w:formProt w:val="0"/>
          <w:docGrid w:linePitch="240" w:charSpace="-6145"/>
        </w:sectPr>
      </w:pPr>
    </w:p>
    <w:p w:rsidR="00762C45" w:rsidRDefault="00303B66">
      <w:pPr>
        <w:pStyle w:val="Estilo3"/>
      </w:pPr>
      <w:bookmarkStart w:id="75" w:name="_Toc474391211"/>
      <w:bookmarkEnd w:id="75"/>
      <w:r>
        <w:lastRenderedPageBreak/>
        <w:t>4.3.2 Órgãos de Gestão e colegiados</w:t>
      </w:r>
    </w:p>
    <w:p w:rsidR="00762C45" w:rsidRDefault="00762C45">
      <w:pPr>
        <w:ind w:firstLine="720"/>
        <w:jc w:val="both"/>
        <w:rPr>
          <w:bCs/>
          <w:sz w:val="22"/>
          <w:szCs w:val="22"/>
        </w:rPr>
      </w:pPr>
    </w:p>
    <w:p w:rsidR="00762C45" w:rsidRDefault="00303B66">
      <w:pPr>
        <w:ind w:firstLine="567"/>
        <w:jc w:val="both"/>
        <w:rPr>
          <w:bCs/>
          <w:sz w:val="22"/>
          <w:szCs w:val="22"/>
        </w:rPr>
      </w:pPr>
      <w:r>
        <w:rPr>
          <w:bCs/>
          <w:sz w:val="22"/>
          <w:szCs w:val="22"/>
        </w:rPr>
        <w:t xml:space="preserve">O principal órgão de gestão do </w:t>
      </w:r>
      <w:r>
        <w:rPr>
          <w:bCs/>
          <w:i/>
          <w:sz w:val="22"/>
          <w:szCs w:val="22"/>
        </w:rPr>
        <w:t>Campus</w:t>
      </w:r>
      <w:r>
        <w:rPr>
          <w:bCs/>
          <w:sz w:val="22"/>
          <w:szCs w:val="22"/>
        </w:rPr>
        <w:t xml:space="preserve"> Avançado Vigia é a Direção Geral vinculada diretamente ao Reitor do IFPA, sendo atualmente exercida pela Profª. Solange Felicidade Marques Ferreira nomeada em caráter pró-tempore desde 2010 quando ainda Coordenadora do Polo Avançado Vigia, ocupando um Cargo de Direção CD 03. Por sua vez a gestão do ensino, pesquisa e extensão é exercida pela Profª. Vanilda de Magalhães Martins Vasconcelos, diretamente vinculada a Direção Geral, ocupando um Cargo de Direção CD 4.</w:t>
      </w:r>
    </w:p>
    <w:p w:rsidR="00762C45" w:rsidRDefault="00303B66">
      <w:pPr>
        <w:ind w:firstLine="567"/>
        <w:jc w:val="both"/>
        <w:rPr>
          <w:bCs/>
          <w:sz w:val="22"/>
          <w:szCs w:val="22"/>
        </w:rPr>
      </w:pPr>
      <w:r>
        <w:rPr>
          <w:bCs/>
          <w:sz w:val="22"/>
          <w:szCs w:val="22"/>
        </w:rPr>
        <w:t xml:space="preserve">A atual Direção Geral trabalha na perspectiva de transformar o </w:t>
      </w:r>
      <w:r>
        <w:rPr>
          <w:bCs/>
          <w:i/>
          <w:sz w:val="22"/>
          <w:szCs w:val="22"/>
        </w:rPr>
        <w:t>Campus</w:t>
      </w:r>
      <w:r>
        <w:rPr>
          <w:bCs/>
          <w:sz w:val="22"/>
          <w:szCs w:val="22"/>
        </w:rPr>
        <w:t xml:space="preserve"> Avançado em Campus e com isso ter condições de implantar a estrutura organizacional para o seu pleno funcionamento, com a contratação de mais servidores docentes e técnico-administrativos que ocuparão os cargos como a Diretoria de Administração e Planejamento com as suas unidades (coordenação de Recursos Humanos, Infraestrutura e Serviços, Contratos e Convênios, Orçamento e Finanças), entre outras.</w:t>
      </w:r>
    </w:p>
    <w:p w:rsidR="00762C45" w:rsidRDefault="00303B66">
      <w:pPr>
        <w:ind w:firstLine="567"/>
        <w:jc w:val="both"/>
        <w:rPr>
          <w:bCs/>
          <w:sz w:val="22"/>
          <w:szCs w:val="22"/>
        </w:rPr>
      </w:pPr>
      <w:r>
        <w:rPr>
          <w:bCs/>
          <w:sz w:val="22"/>
          <w:szCs w:val="22"/>
        </w:rPr>
        <w:t xml:space="preserve">Está previsto também a estruturação do Conselho Diretor e dos Colegiados de Cursos que figurarão no Regimento Geral do </w:t>
      </w:r>
      <w:r>
        <w:rPr>
          <w:bCs/>
          <w:i/>
          <w:sz w:val="22"/>
          <w:szCs w:val="22"/>
        </w:rPr>
        <w:t>Campus</w:t>
      </w:r>
      <w:r>
        <w:rPr>
          <w:bCs/>
          <w:sz w:val="22"/>
          <w:szCs w:val="22"/>
        </w:rPr>
        <w:t xml:space="preserve"> Avançado Vigia a ser elaborado com a participação de toda a comunidade acadêmica e a sociedade civil organizada.</w:t>
      </w:r>
    </w:p>
    <w:p w:rsidR="00762C45" w:rsidRDefault="00762C45">
      <w:pPr>
        <w:tabs>
          <w:tab w:val="left" w:pos="1146"/>
        </w:tabs>
        <w:spacing w:line="276" w:lineRule="auto"/>
        <w:ind w:firstLine="567"/>
        <w:jc w:val="both"/>
      </w:pPr>
    </w:p>
    <w:p w:rsidR="00762C45" w:rsidRDefault="00303B66">
      <w:pPr>
        <w:pStyle w:val="Estilo20"/>
      </w:pPr>
      <w:bookmarkStart w:id="76" w:name="_Toc474391212"/>
      <w:bookmarkEnd w:id="76"/>
      <w:r>
        <w:t>4.4. Sistema de Registro Acadêmico</w:t>
      </w:r>
    </w:p>
    <w:p w:rsidR="00762C45" w:rsidRDefault="00762C45">
      <w:pPr>
        <w:ind w:firstLine="567"/>
        <w:jc w:val="both"/>
        <w:rPr>
          <w:color w:val="000000"/>
          <w:sz w:val="22"/>
          <w:szCs w:val="22"/>
        </w:rPr>
      </w:pPr>
    </w:p>
    <w:p w:rsidR="00762C45" w:rsidRDefault="00303B66">
      <w:pPr>
        <w:ind w:firstLine="567"/>
        <w:jc w:val="both"/>
      </w:pPr>
      <w:r>
        <w:rPr>
          <w:color w:val="000000"/>
          <w:sz w:val="22"/>
          <w:szCs w:val="22"/>
        </w:rPr>
        <w:t xml:space="preserve">O Sistema de Registro Acadêmico utilizado é o SIGAA - Sistema Integrado de Gestão de Atividades Acadêmicas. O registro acadêmico é garantido mediante aprovação e classificação no número de vagas do Processo Seletivo e convocação do candidato através de Edital próprio efetuado mediante entrega de documentação solicitada no Edital do Processo Seletivo correspondente à Secretaria Acadêmica do </w:t>
      </w:r>
      <w:r>
        <w:rPr>
          <w:i/>
          <w:iCs/>
          <w:color w:val="000000"/>
          <w:sz w:val="22"/>
          <w:szCs w:val="22"/>
        </w:rPr>
        <w:t>campus</w:t>
      </w:r>
      <w:r>
        <w:rPr>
          <w:color w:val="000000"/>
          <w:sz w:val="22"/>
          <w:szCs w:val="22"/>
        </w:rPr>
        <w:t xml:space="preserve"> onde ele se realiza, na data definida por Edital e Calendário Acadêmico, divulgados no site do IFPA (</w:t>
      </w:r>
      <w:hyperlink r:id="rId20">
        <w:r>
          <w:rPr>
            <w:rStyle w:val="LinkdaInternet"/>
            <w:vanish/>
            <w:webHidden/>
            <w:color w:val="000000"/>
            <w:sz w:val="22"/>
            <w:szCs w:val="22"/>
          </w:rPr>
          <w:t>www.ifpa.edu.br</w:t>
        </w:r>
      </w:hyperlink>
      <w:r>
        <w:rPr>
          <w:color w:val="000000"/>
          <w:sz w:val="22"/>
          <w:szCs w:val="22"/>
        </w:rPr>
        <w:t>).</w:t>
      </w:r>
    </w:p>
    <w:p w:rsidR="00762C45" w:rsidRDefault="00303B66">
      <w:pPr>
        <w:ind w:firstLine="567"/>
        <w:jc w:val="both"/>
      </w:pPr>
      <w:r>
        <w:rPr>
          <w:color w:val="000000"/>
          <w:sz w:val="22"/>
          <w:szCs w:val="22"/>
        </w:rPr>
        <w:t xml:space="preserve">A conferência e a guarda da documentação do registro acadêmico são de responsabilidade da Secretaria Acadêmica do </w:t>
      </w:r>
      <w:r>
        <w:rPr>
          <w:iCs/>
          <w:color w:val="000000"/>
          <w:sz w:val="22"/>
          <w:szCs w:val="22"/>
        </w:rPr>
        <w:t>CAV</w:t>
      </w:r>
      <w:r>
        <w:rPr>
          <w:color w:val="000000"/>
          <w:sz w:val="22"/>
          <w:szCs w:val="22"/>
        </w:rPr>
        <w:t>, assim como o registro dos cursos e alunos no sistema de controle acadêmico da Instituição e no Sistema Nacional de Informações da Educação Profissional e Tecnológica (SISTEC), observando os prazos estipulados. Ademais, também responder aos censos educacionais da Educação Profissional e Tecnológica, Censo da Educação Básica – EDUCACENSO, e quando da implantação do ensino superior preencheremos ainda o Censo do Ensino Superior – CENSUP bem como o ENADE, e demais sistemas próprios do Ensino Superior.</w:t>
      </w:r>
    </w:p>
    <w:p w:rsidR="00762C45" w:rsidRDefault="00303B66">
      <w:pPr>
        <w:ind w:firstLine="567"/>
        <w:jc w:val="both"/>
        <w:rPr>
          <w:sz w:val="22"/>
          <w:szCs w:val="22"/>
        </w:rPr>
      </w:pPr>
      <w:r>
        <w:rPr>
          <w:color w:val="000000"/>
          <w:sz w:val="22"/>
          <w:szCs w:val="22"/>
        </w:rPr>
        <w:t xml:space="preserve">A secretaria acadêmica é responsável pelo Sistema de Registro Acadêmico, controle, atendimento, organização, verificação, registro e arquivamento da vida acadêmica do aluno até a conclusão do curso. Tem a missão de realizar com eficácia todos os procedimentos que envolvem o controle e o registro acadêmico, dessa forma contribui com a eficiência educacional no município de Vigia e seriedade do </w:t>
      </w:r>
      <w:r>
        <w:rPr>
          <w:i/>
          <w:iCs/>
          <w:color w:val="000000"/>
          <w:sz w:val="22"/>
          <w:szCs w:val="22"/>
        </w:rPr>
        <w:t>Campus</w:t>
      </w:r>
      <w:r>
        <w:rPr>
          <w:color w:val="000000"/>
          <w:sz w:val="22"/>
          <w:szCs w:val="22"/>
        </w:rPr>
        <w:t xml:space="preserve"> Avançado Vigia.</w:t>
      </w:r>
    </w:p>
    <w:p w:rsidR="00762C45" w:rsidRDefault="00762C45">
      <w:pPr>
        <w:spacing w:line="276" w:lineRule="auto"/>
        <w:ind w:left="567"/>
        <w:jc w:val="both"/>
        <w:rPr>
          <w:color w:val="000000"/>
          <w:sz w:val="22"/>
          <w:szCs w:val="22"/>
        </w:rPr>
      </w:pPr>
    </w:p>
    <w:p w:rsidR="00762C45" w:rsidRDefault="00303B66">
      <w:pPr>
        <w:pStyle w:val="Estilo20"/>
      </w:pPr>
      <w:bookmarkStart w:id="77" w:name="_Toc474391213"/>
      <w:bookmarkEnd w:id="77"/>
      <w:r>
        <w:t>4.5. Sustentabilidade Financeira</w:t>
      </w:r>
    </w:p>
    <w:p w:rsidR="00762C45" w:rsidRDefault="00762C45">
      <w:pPr>
        <w:spacing w:line="276" w:lineRule="auto"/>
        <w:ind w:left="495" w:hanging="495"/>
        <w:jc w:val="both"/>
        <w:rPr>
          <w:b/>
          <w:bCs/>
          <w:color w:val="FF0000"/>
          <w:sz w:val="22"/>
          <w:szCs w:val="22"/>
        </w:rPr>
      </w:pPr>
    </w:p>
    <w:p w:rsidR="00762C45" w:rsidRDefault="00303B66">
      <w:pPr>
        <w:spacing w:line="276" w:lineRule="auto"/>
        <w:ind w:firstLine="567"/>
        <w:jc w:val="both"/>
      </w:pPr>
      <w:r>
        <w:rPr>
          <w:bCs/>
          <w:sz w:val="22"/>
          <w:szCs w:val="22"/>
        </w:rPr>
        <w:t xml:space="preserve">Como o CAV é tutelado pela Reitoria a sustentabilidade financeira deste </w:t>
      </w:r>
      <w:r>
        <w:rPr>
          <w:bCs/>
          <w:i/>
          <w:sz w:val="22"/>
          <w:szCs w:val="22"/>
        </w:rPr>
        <w:t>campus</w:t>
      </w:r>
      <w:r>
        <w:rPr>
          <w:bCs/>
          <w:sz w:val="22"/>
          <w:szCs w:val="22"/>
        </w:rPr>
        <w:t xml:space="preserve"> está vinculada a PROAD.</w:t>
      </w:r>
    </w:p>
    <w:p w:rsidR="00762C45" w:rsidRDefault="00762C45">
      <w:pPr>
        <w:spacing w:line="276" w:lineRule="auto"/>
        <w:ind w:left="567"/>
        <w:jc w:val="both"/>
        <w:rPr>
          <w:sz w:val="22"/>
          <w:szCs w:val="22"/>
        </w:rPr>
      </w:pPr>
    </w:p>
    <w:p w:rsidR="00762C45" w:rsidRDefault="00303B66">
      <w:pPr>
        <w:pStyle w:val="Estilo20"/>
      </w:pPr>
      <w:bookmarkStart w:id="78" w:name="_Toc474391214"/>
      <w:bookmarkEnd w:id="78"/>
      <w:r>
        <w:t>4.6 Perfil do Corpo Docente e Técnico Administrativo</w:t>
      </w:r>
    </w:p>
    <w:p w:rsidR="00762C45" w:rsidRDefault="00762C45">
      <w:pPr>
        <w:tabs>
          <w:tab w:val="left" w:pos="1429"/>
        </w:tabs>
        <w:spacing w:line="276" w:lineRule="auto"/>
        <w:ind w:left="495" w:hanging="495"/>
        <w:jc w:val="both"/>
        <w:rPr>
          <w:b/>
          <w:bCs/>
          <w:sz w:val="22"/>
          <w:szCs w:val="22"/>
        </w:rPr>
      </w:pPr>
    </w:p>
    <w:p w:rsidR="00762C45" w:rsidRDefault="00303B66">
      <w:pPr>
        <w:pStyle w:val="Estilo3"/>
      </w:pPr>
      <w:bookmarkStart w:id="79" w:name="_Toc474391215"/>
      <w:bookmarkEnd w:id="79"/>
      <w:r>
        <w:t>4.6.1 Corpo Docente</w:t>
      </w:r>
    </w:p>
    <w:p w:rsidR="00762C45" w:rsidRDefault="00762C45">
      <w:pPr>
        <w:pStyle w:val="Ttulo1"/>
        <w:tabs>
          <w:tab w:val="left" w:pos="426"/>
        </w:tabs>
        <w:jc w:val="both"/>
        <w:rPr>
          <w:color w:val="FF0000"/>
          <w:sz w:val="22"/>
          <w:szCs w:val="22"/>
        </w:rPr>
      </w:pPr>
    </w:p>
    <w:p w:rsidR="00762C45" w:rsidRDefault="00303B66">
      <w:pPr>
        <w:ind w:firstLine="567"/>
        <w:jc w:val="both"/>
        <w:rPr>
          <w:color w:val="FF0000"/>
          <w:sz w:val="22"/>
          <w:szCs w:val="22"/>
        </w:rPr>
        <w:sectPr w:rsidR="00762C45">
          <w:headerReference w:type="default" r:id="rId21"/>
          <w:pgSz w:w="12240" w:h="15840"/>
          <w:pgMar w:top="1440" w:right="1080" w:bottom="1440" w:left="1080" w:header="0" w:footer="0" w:gutter="0"/>
          <w:cols w:space="720"/>
          <w:formProt w:val="0"/>
          <w:docGrid w:linePitch="326" w:charSpace="-6145"/>
        </w:sectPr>
      </w:pPr>
      <w:r>
        <w:rPr>
          <w:sz w:val="22"/>
          <w:szCs w:val="22"/>
        </w:rPr>
        <w:t xml:space="preserve">O Quadro 9 a seguir apresenta a relação dos docentes lotados no </w:t>
      </w:r>
      <w:r>
        <w:rPr>
          <w:i/>
          <w:sz w:val="22"/>
          <w:szCs w:val="22"/>
        </w:rPr>
        <w:t>Campu</w:t>
      </w:r>
      <w:r>
        <w:rPr>
          <w:sz w:val="22"/>
          <w:szCs w:val="22"/>
        </w:rPr>
        <w:t xml:space="preserve">s Avançado Vigia, com suas respectivas titulações, regime de trabalho e atuação em atividades relacionadas à educação básica e superior. </w:t>
      </w:r>
    </w:p>
    <w:p w:rsidR="00762C45" w:rsidRDefault="00303B66">
      <w:pPr>
        <w:pStyle w:val="Legenda"/>
        <w:spacing w:before="0" w:after="0" w:line="240" w:lineRule="auto"/>
        <w:ind w:left="0" w:hanging="495"/>
        <w:jc w:val="center"/>
      </w:pPr>
      <w:bookmarkStart w:id="80" w:name="_Toc474391117"/>
      <w:bookmarkStart w:id="81" w:name="_Toc472974287"/>
      <w:r>
        <w:rPr>
          <w:rFonts w:ascii="Times New Roman" w:hAnsi="Times New Roman" w:cs="Times New Roman"/>
          <w:b/>
          <w:i w:val="0"/>
          <w:sz w:val="20"/>
          <w:szCs w:val="20"/>
        </w:rPr>
        <w:lastRenderedPageBreak/>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9</w:t>
      </w:r>
      <w:r>
        <w:fldChar w:fldCharType="end"/>
      </w:r>
      <w:r>
        <w:rPr>
          <w:rFonts w:ascii="Times New Roman" w:hAnsi="Times New Roman" w:cs="Times New Roman"/>
          <w:b/>
          <w:i w:val="0"/>
          <w:sz w:val="20"/>
          <w:szCs w:val="20"/>
        </w:rPr>
        <w:t xml:space="preserve">. Perfil do corpo docente do </w:t>
      </w:r>
      <w:r>
        <w:rPr>
          <w:rFonts w:ascii="Times New Roman" w:hAnsi="Times New Roman" w:cs="Times New Roman"/>
          <w:b/>
          <w:sz w:val="20"/>
          <w:szCs w:val="20"/>
        </w:rPr>
        <w:t>Campus</w:t>
      </w:r>
      <w:bookmarkEnd w:id="80"/>
      <w:bookmarkEnd w:id="81"/>
      <w:r>
        <w:rPr>
          <w:rFonts w:ascii="Times New Roman" w:hAnsi="Times New Roman" w:cs="Times New Roman"/>
          <w:b/>
          <w:i w:val="0"/>
          <w:sz w:val="20"/>
          <w:szCs w:val="20"/>
        </w:rPr>
        <w:t xml:space="preserve"> Avançado Vigia</w:t>
      </w:r>
    </w:p>
    <w:p w:rsidR="00762C45" w:rsidRDefault="00762C45">
      <w:pPr>
        <w:pStyle w:val="Legenda"/>
        <w:spacing w:before="0" w:after="0" w:line="240" w:lineRule="auto"/>
        <w:ind w:left="0"/>
        <w:rPr>
          <w:rFonts w:ascii="Times New Roman" w:hAnsi="Times New Roman" w:cs="Times New Roman"/>
          <w:b/>
          <w:i w:val="0"/>
          <w:color w:val="FF0000"/>
          <w:sz w:val="20"/>
          <w:szCs w:val="20"/>
        </w:rPr>
      </w:pPr>
    </w:p>
    <w:tbl>
      <w:tblPr>
        <w:tblW w:w="12799" w:type="dxa"/>
        <w:tblInd w:w="11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10" w:type="dxa"/>
        </w:tblCellMar>
        <w:tblLook w:val="04A0" w:firstRow="1" w:lastRow="0" w:firstColumn="1" w:lastColumn="0" w:noHBand="0" w:noVBand="1"/>
      </w:tblPr>
      <w:tblGrid>
        <w:gridCol w:w="4533"/>
        <w:gridCol w:w="1814"/>
        <w:gridCol w:w="1853"/>
        <w:gridCol w:w="2151"/>
        <w:gridCol w:w="2448"/>
      </w:tblGrid>
      <w:tr w:rsidR="00762C45">
        <w:trPr>
          <w:trHeight w:val="331"/>
        </w:trPr>
        <w:tc>
          <w:tcPr>
            <w:tcW w:w="4533" w:type="dxa"/>
            <w:vMerge w:val="restart"/>
            <w:tcBorders>
              <w:top w:val="single" w:sz="4" w:space="0" w:color="000001"/>
              <w:left w:val="single" w:sz="4" w:space="0" w:color="000001"/>
              <w:bottom w:val="single" w:sz="4" w:space="0" w:color="000001"/>
              <w:right w:val="single" w:sz="4" w:space="0" w:color="000001"/>
            </w:tcBorders>
            <w:shd w:val="clear" w:color="auto" w:fill="AEAAAA" w:themeFill="background2" w:themeFillShade="BF"/>
            <w:tcMar>
              <w:left w:w="-5" w:type="dxa"/>
            </w:tcMar>
            <w:vAlign w:val="center"/>
          </w:tcPr>
          <w:p w:rsidR="00762C45" w:rsidRDefault="00303B66">
            <w:pPr>
              <w:spacing w:line="276" w:lineRule="auto"/>
              <w:jc w:val="center"/>
              <w:rPr>
                <w:b/>
                <w:color w:val="FF0000"/>
                <w:sz w:val="20"/>
                <w:szCs w:val="20"/>
              </w:rPr>
            </w:pPr>
            <w:r>
              <w:rPr>
                <w:b/>
                <w:bCs/>
                <w:color w:val="000000"/>
                <w:sz w:val="20"/>
                <w:szCs w:val="20"/>
              </w:rPr>
              <w:t>Nome do Docente</w:t>
            </w:r>
          </w:p>
        </w:tc>
        <w:tc>
          <w:tcPr>
            <w:tcW w:w="1814" w:type="dxa"/>
            <w:vMerge w:val="restart"/>
            <w:tcBorders>
              <w:top w:val="single" w:sz="4" w:space="0" w:color="000001"/>
              <w:left w:val="single" w:sz="4" w:space="0" w:color="000001"/>
              <w:bottom w:val="single" w:sz="4" w:space="0" w:color="000001"/>
              <w:right w:val="single" w:sz="4" w:space="0" w:color="000001"/>
            </w:tcBorders>
            <w:shd w:val="clear" w:color="auto" w:fill="AEAAAA" w:themeFill="background2" w:themeFillShade="BF"/>
            <w:tcMar>
              <w:left w:w="-5" w:type="dxa"/>
            </w:tcMar>
            <w:vAlign w:val="center"/>
          </w:tcPr>
          <w:p w:rsidR="00762C45" w:rsidRDefault="00303B66">
            <w:pPr>
              <w:spacing w:line="276" w:lineRule="auto"/>
              <w:jc w:val="center"/>
              <w:rPr>
                <w:b/>
                <w:color w:val="FF0000"/>
                <w:sz w:val="20"/>
                <w:szCs w:val="20"/>
              </w:rPr>
            </w:pPr>
            <w:r>
              <w:rPr>
                <w:b/>
                <w:bCs/>
                <w:color w:val="000000"/>
                <w:sz w:val="20"/>
                <w:szCs w:val="20"/>
              </w:rPr>
              <w:t>Titulação</w:t>
            </w:r>
          </w:p>
        </w:tc>
        <w:tc>
          <w:tcPr>
            <w:tcW w:w="1853" w:type="dxa"/>
            <w:vMerge w:val="restart"/>
            <w:tcBorders>
              <w:top w:val="single" w:sz="4" w:space="0" w:color="000001"/>
              <w:left w:val="single" w:sz="4" w:space="0" w:color="000001"/>
              <w:bottom w:val="single" w:sz="4" w:space="0" w:color="000001"/>
              <w:right w:val="single" w:sz="4" w:space="0" w:color="000001"/>
            </w:tcBorders>
            <w:shd w:val="clear" w:color="auto" w:fill="AEAAAA" w:themeFill="background2" w:themeFillShade="BF"/>
            <w:tcMar>
              <w:left w:w="-5" w:type="dxa"/>
            </w:tcMar>
            <w:vAlign w:val="center"/>
          </w:tcPr>
          <w:p w:rsidR="00762C45" w:rsidRDefault="00303B66">
            <w:pPr>
              <w:spacing w:line="276" w:lineRule="auto"/>
              <w:jc w:val="center"/>
              <w:rPr>
                <w:b/>
                <w:color w:val="FF0000"/>
                <w:sz w:val="20"/>
                <w:szCs w:val="20"/>
              </w:rPr>
            </w:pPr>
            <w:r>
              <w:rPr>
                <w:b/>
                <w:bCs/>
                <w:color w:val="000000"/>
                <w:sz w:val="20"/>
                <w:szCs w:val="20"/>
              </w:rPr>
              <w:t>Regime de Trabalho</w:t>
            </w:r>
          </w:p>
        </w:tc>
        <w:tc>
          <w:tcPr>
            <w:tcW w:w="4599" w:type="dxa"/>
            <w:gridSpan w:val="2"/>
            <w:tcBorders>
              <w:top w:val="single" w:sz="4" w:space="0" w:color="000001"/>
              <w:left w:val="single" w:sz="4" w:space="0" w:color="000001"/>
              <w:bottom w:val="single" w:sz="4" w:space="0" w:color="000001"/>
              <w:right w:val="single" w:sz="4" w:space="0" w:color="000001"/>
            </w:tcBorders>
            <w:shd w:val="clear" w:color="auto" w:fill="AEAAAA" w:themeFill="background2" w:themeFillShade="BF"/>
            <w:tcMar>
              <w:left w:w="-5" w:type="dxa"/>
            </w:tcMar>
            <w:vAlign w:val="center"/>
          </w:tcPr>
          <w:p w:rsidR="00762C45" w:rsidRDefault="00303B66">
            <w:pPr>
              <w:spacing w:line="276" w:lineRule="auto"/>
              <w:jc w:val="center"/>
              <w:rPr>
                <w:b/>
                <w:color w:val="FF0000"/>
                <w:sz w:val="20"/>
                <w:szCs w:val="20"/>
              </w:rPr>
            </w:pPr>
            <w:r>
              <w:rPr>
                <w:b/>
                <w:color w:val="000000"/>
                <w:sz w:val="20"/>
                <w:szCs w:val="20"/>
              </w:rPr>
              <w:t>Atuação</w:t>
            </w:r>
          </w:p>
        </w:tc>
      </w:tr>
      <w:tr w:rsidR="00762C45">
        <w:trPr>
          <w:trHeight w:val="60"/>
        </w:trPr>
        <w:tc>
          <w:tcPr>
            <w:tcW w:w="453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bottom"/>
          </w:tcPr>
          <w:p w:rsidR="00762C45" w:rsidRDefault="00762C45">
            <w:pPr>
              <w:spacing w:line="276" w:lineRule="auto"/>
              <w:jc w:val="center"/>
              <w:rPr>
                <w:b/>
                <w:bCs/>
                <w:color w:val="000000"/>
                <w:sz w:val="20"/>
                <w:szCs w:val="20"/>
              </w:rPr>
            </w:pPr>
          </w:p>
        </w:tc>
        <w:tc>
          <w:tcPr>
            <w:tcW w:w="1814"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762C45">
            <w:pPr>
              <w:spacing w:line="276" w:lineRule="auto"/>
              <w:jc w:val="center"/>
              <w:rPr>
                <w:b/>
                <w:bCs/>
                <w:color w:val="000000"/>
                <w:sz w:val="20"/>
                <w:szCs w:val="20"/>
              </w:rPr>
            </w:pPr>
          </w:p>
        </w:tc>
        <w:tc>
          <w:tcPr>
            <w:tcW w:w="1853"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762C45">
            <w:pPr>
              <w:spacing w:line="276" w:lineRule="auto"/>
              <w:jc w:val="center"/>
              <w:rPr>
                <w:b/>
                <w:bCs/>
                <w:color w:val="000000"/>
                <w:sz w:val="20"/>
                <w:szCs w:val="20"/>
              </w:rPr>
            </w:pPr>
          </w:p>
        </w:tc>
        <w:tc>
          <w:tcPr>
            <w:tcW w:w="2151" w:type="dxa"/>
            <w:tcBorders>
              <w:top w:val="single" w:sz="4" w:space="0" w:color="000001"/>
              <w:left w:val="single" w:sz="4" w:space="0" w:color="000001"/>
              <w:bottom w:val="single" w:sz="4" w:space="0" w:color="000001"/>
              <w:right w:val="single" w:sz="4" w:space="0" w:color="000001"/>
            </w:tcBorders>
            <w:shd w:val="clear" w:color="auto" w:fill="AEAAAA" w:themeFill="background2" w:themeFillShade="BF"/>
            <w:tcMar>
              <w:left w:w="-5" w:type="dxa"/>
            </w:tcMar>
            <w:vAlign w:val="center"/>
          </w:tcPr>
          <w:p w:rsidR="00762C45" w:rsidRDefault="00303B66">
            <w:pPr>
              <w:spacing w:line="276" w:lineRule="auto"/>
              <w:jc w:val="center"/>
              <w:rPr>
                <w:b/>
                <w:bCs/>
                <w:color w:val="FF0000"/>
                <w:sz w:val="20"/>
                <w:szCs w:val="20"/>
              </w:rPr>
            </w:pPr>
            <w:r>
              <w:rPr>
                <w:b/>
                <w:bCs/>
                <w:color w:val="000000"/>
                <w:sz w:val="20"/>
                <w:szCs w:val="20"/>
              </w:rPr>
              <w:t>Educação Básica</w:t>
            </w:r>
          </w:p>
        </w:tc>
        <w:tc>
          <w:tcPr>
            <w:tcW w:w="2448" w:type="dxa"/>
            <w:tcBorders>
              <w:top w:val="single" w:sz="4" w:space="0" w:color="000001"/>
              <w:left w:val="single" w:sz="4" w:space="0" w:color="000001"/>
              <w:bottom w:val="single" w:sz="4" w:space="0" w:color="000001"/>
              <w:right w:val="single" w:sz="4" w:space="0" w:color="000001"/>
            </w:tcBorders>
            <w:shd w:val="clear" w:color="auto" w:fill="AEAAAA" w:themeFill="background2" w:themeFillShade="BF"/>
            <w:tcMar>
              <w:left w:w="-5" w:type="dxa"/>
            </w:tcMar>
            <w:vAlign w:val="center"/>
          </w:tcPr>
          <w:p w:rsidR="00762C45" w:rsidRDefault="00303B66">
            <w:pPr>
              <w:spacing w:line="276" w:lineRule="auto"/>
              <w:jc w:val="center"/>
              <w:rPr>
                <w:b/>
                <w:bCs/>
                <w:color w:val="FF0000"/>
                <w:sz w:val="20"/>
                <w:szCs w:val="20"/>
              </w:rPr>
            </w:pPr>
            <w:r>
              <w:rPr>
                <w:b/>
                <w:bCs/>
                <w:color w:val="000000"/>
                <w:sz w:val="20"/>
                <w:szCs w:val="20"/>
              </w:rPr>
              <w:t>Educação Superior</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color w:val="FF0000"/>
                <w:sz w:val="20"/>
                <w:szCs w:val="20"/>
              </w:rPr>
            </w:pPr>
            <w:r>
              <w:rPr>
                <w:color w:val="000000"/>
                <w:sz w:val="20"/>
                <w:szCs w:val="20"/>
              </w:rPr>
              <w:t>Amanda Cristiane da Silva Costa</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sz w:val="20"/>
                <w:szCs w:val="20"/>
              </w:rPr>
              <w:t>Especialista</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000000"/>
                <w:sz w:val="20"/>
                <w:szCs w:val="20"/>
              </w:rPr>
            </w:pPr>
            <w:r>
              <w:rPr>
                <w:color w:val="000000"/>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color w:val="FF0000"/>
                <w:sz w:val="20"/>
                <w:szCs w:val="20"/>
              </w:rPr>
            </w:pPr>
            <w:r>
              <w:rPr>
                <w:color w:val="000000"/>
                <w:sz w:val="20"/>
                <w:szCs w:val="20"/>
              </w:rPr>
              <w:t>Ananias Pereira Neto</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Mestre</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62C45" w:rsidRDefault="00303B66">
            <w:pPr>
              <w:spacing w:line="276" w:lineRule="auto"/>
              <w:rPr>
                <w:color w:val="FF0000"/>
                <w:sz w:val="20"/>
                <w:szCs w:val="20"/>
              </w:rPr>
            </w:pPr>
            <w:r>
              <w:rPr>
                <w:color w:val="000000"/>
                <w:sz w:val="20"/>
                <w:szCs w:val="20"/>
              </w:rPr>
              <w:t>Ariwilson Gomes dos Santos</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Mestre</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62C45" w:rsidRDefault="00303B66">
            <w:pPr>
              <w:spacing w:line="276" w:lineRule="auto"/>
              <w:rPr>
                <w:color w:val="FF0000"/>
                <w:sz w:val="20"/>
                <w:szCs w:val="20"/>
              </w:rPr>
            </w:pPr>
            <w:r>
              <w:rPr>
                <w:color w:val="000000"/>
                <w:sz w:val="20"/>
                <w:szCs w:val="20"/>
              </w:rPr>
              <w:t>Camila Vieira da Silva</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Doutora</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Eventual em outros campi</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62C45" w:rsidRDefault="00303B66">
            <w:pPr>
              <w:spacing w:line="276" w:lineRule="auto"/>
              <w:rPr>
                <w:color w:val="FF0000"/>
                <w:sz w:val="20"/>
                <w:szCs w:val="20"/>
              </w:rPr>
            </w:pPr>
            <w:r>
              <w:rPr>
                <w:color w:val="000000"/>
                <w:sz w:val="20"/>
                <w:szCs w:val="20"/>
              </w:rPr>
              <w:t>Carlos Alberto Oliveira da Silva</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color w:val="000000"/>
                <w:sz w:val="20"/>
                <w:szCs w:val="20"/>
              </w:rPr>
              <w:t>Mestrando</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color w:val="000000"/>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color w:val="FF0000"/>
                <w:sz w:val="20"/>
                <w:szCs w:val="20"/>
              </w:rPr>
            </w:pPr>
            <w:r>
              <w:rPr>
                <w:color w:val="000000"/>
                <w:sz w:val="20"/>
                <w:szCs w:val="20"/>
              </w:rPr>
              <w:t>Erica Cristina Rodrigues Nascimento</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Especialista</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Afastada para mestrado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color w:val="FF0000"/>
                <w:sz w:val="20"/>
                <w:szCs w:val="20"/>
              </w:rPr>
            </w:pPr>
            <w:r>
              <w:rPr>
                <w:color w:val="000000"/>
                <w:sz w:val="20"/>
                <w:szCs w:val="20"/>
              </w:rPr>
              <w:t>Igor Albuquerque Cieslak</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Especialista</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pPr>
            <w:r>
              <w:rPr>
                <w:color w:val="000000"/>
                <w:sz w:val="20"/>
                <w:szCs w:val="20"/>
              </w:rPr>
              <w:t xml:space="preserve">Ingrid Paola Ribeiro </w:t>
            </w:r>
            <w:r>
              <w:rPr>
                <w:color w:val="000000"/>
                <w:sz w:val="22"/>
                <w:szCs w:val="22"/>
              </w:rPr>
              <w:t>T</w:t>
            </w:r>
            <w:r>
              <w:rPr>
                <w:color w:val="000000"/>
                <w:sz w:val="20"/>
                <w:szCs w:val="20"/>
              </w:rPr>
              <w:t>omaz Cunha</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sz w:val="20"/>
                <w:szCs w:val="20"/>
              </w:rPr>
              <w:t>Mestre</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pPr>
            <w:r>
              <w:rPr>
                <w:color w:val="000000"/>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vAlign w:val="center"/>
          </w:tcPr>
          <w:p w:rsidR="00762C45" w:rsidRDefault="00303B66">
            <w:pPr>
              <w:spacing w:line="276" w:lineRule="auto"/>
              <w:rPr>
                <w:color w:val="FF0000"/>
                <w:sz w:val="20"/>
                <w:szCs w:val="20"/>
              </w:rPr>
            </w:pPr>
            <w:r>
              <w:rPr>
                <w:color w:val="000000"/>
                <w:sz w:val="20"/>
                <w:szCs w:val="20"/>
              </w:rPr>
              <w:t>Keila Renata Moreira Mourão</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Doutora</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sz w:val="20"/>
                <w:szCs w:val="20"/>
              </w:rPr>
            </w:pPr>
            <w:r>
              <w:rPr>
                <w:sz w:val="20"/>
                <w:szCs w:val="20"/>
              </w:rPr>
              <w:t>Paulo Marcelo Oliveira Lins</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color w:val="000000"/>
                <w:sz w:val="20"/>
                <w:szCs w:val="20"/>
              </w:rPr>
              <w:t>Mestre</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color w:val="FF0000"/>
                <w:sz w:val="20"/>
                <w:szCs w:val="20"/>
              </w:rPr>
            </w:pPr>
            <w:r>
              <w:rPr>
                <w:color w:val="000000"/>
                <w:sz w:val="20"/>
                <w:szCs w:val="20"/>
              </w:rPr>
              <w:t>Liliane Amanda Oliveira das Dores</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bookmarkStart w:id="82" w:name="__DdeLink__6288_2132834529"/>
            <w:bookmarkEnd w:id="82"/>
            <w:r>
              <w:rPr>
                <w:color w:val="000000"/>
                <w:sz w:val="20"/>
                <w:szCs w:val="20"/>
              </w:rPr>
              <w:t>Mestre</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Sem atuação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color w:val="FF0000"/>
                <w:sz w:val="20"/>
                <w:szCs w:val="20"/>
              </w:rPr>
            </w:pPr>
            <w:r>
              <w:rPr>
                <w:color w:val="000000"/>
                <w:sz w:val="20"/>
                <w:szCs w:val="20"/>
              </w:rPr>
              <w:t>Vanilda de Magalhães Martins Vasconcelos</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Mestre</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pPr>
            <w:r>
              <w:rPr>
                <w:color w:val="000000"/>
                <w:sz w:val="20"/>
                <w:szCs w:val="20"/>
              </w:rPr>
              <w:t>Eventual em outros campi</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color w:val="FF0000"/>
                <w:sz w:val="20"/>
                <w:szCs w:val="20"/>
              </w:rPr>
            </w:pPr>
            <w:r>
              <w:rPr>
                <w:color w:val="000000"/>
                <w:sz w:val="20"/>
                <w:szCs w:val="20"/>
              </w:rPr>
              <w:t>Wilson Rogério Soares e Silva</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sz w:val="20"/>
                <w:szCs w:val="20"/>
              </w:rPr>
            </w:pPr>
            <w:r>
              <w:rPr>
                <w:color w:val="000000"/>
                <w:sz w:val="20"/>
                <w:szCs w:val="20"/>
              </w:rPr>
              <w:t>Especialista</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Afastado para mestrado</w:t>
            </w:r>
          </w:p>
        </w:tc>
      </w:tr>
      <w:tr w:rsidR="00762C45">
        <w:trPr>
          <w:trHeight w:hRule="exact" w:val="454"/>
        </w:trPr>
        <w:tc>
          <w:tcPr>
            <w:tcW w:w="453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rPr>
                <w:color w:val="FF0000"/>
                <w:sz w:val="20"/>
                <w:szCs w:val="20"/>
              </w:rPr>
            </w:pPr>
            <w:r>
              <w:rPr>
                <w:color w:val="000000"/>
                <w:sz w:val="20"/>
                <w:szCs w:val="20"/>
              </w:rPr>
              <w:t>Ylana Priscila da Costa Melo Carvalho</w:t>
            </w:r>
          </w:p>
        </w:tc>
        <w:tc>
          <w:tcPr>
            <w:tcW w:w="1814"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Mestre</w:t>
            </w:r>
          </w:p>
        </w:tc>
        <w:tc>
          <w:tcPr>
            <w:tcW w:w="185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DE</w:t>
            </w:r>
          </w:p>
        </w:tc>
        <w:tc>
          <w:tcPr>
            <w:tcW w:w="21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spacing w:line="276" w:lineRule="auto"/>
              <w:jc w:val="center"/>
              <w:rPr>
                <w:color w:val="FF0000"/>
                <w:sz w:val="20"/>
                <w:szCs w:val="20"/>
              </w:rPr>
            </w:pPr>
            <w:r>
              <w:rPr>
                <w:color w:val="000000"/>
                <w:sz w:val="20"/>
                <w:szCs w:val="20"/>
              </w:rPr>
              <w:t>Técnico Subsequente</w:t>
            </w:r>
          </w:p>
        </w:tc>
        <w:tc>
          <w:tcPr>
            <w:tcW w:w="2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762C45" w:rsidRDefault="00303B66">
            <w:pPr>
              <w:keepNext/>
              <w:spacing w:line="276" w:lineRule="auto"/>
              <w:jc w:val="center"/>
              <w:rPr>
                <w:color w:val="FF0000"/>
                <w:sz w:val="20"/>
                <w:szCs w:val="20"/>
              </w:rPr>
            </w:pPr>
            <w:r>
              <w:rPr>
                <w:color w:val="000000"/>
                <w:sz w:val="20"/>
                <w:szCs w:val="20"/>
              </w:rPr>
              <w:t>Sem atuação</w:t>
            </w:r>
          </w:p>
        </w:tc>
      </w:tr>
    </w:tbl>
    <w:p w:rsidR="00762C45" w:rsidRDefault="00762C45">
      <w:pPr>
        <w:sectPr w:rsidR="00762C45">
          <w:headerReference w:type="default" r:id="rId22"/>
          <w:pgSz w:w="15840" w:h="12240" w:orient="landscape"/>
          <w:pgMar w:top="1080" w:right="1440" w:bottom="1080" w:left="1440" w:header="0" w:footer="0" w:gutter="0"/>
          <w:cols w:space="720"/>
          <w:formProt w:val="0"/>
          <w:docGrid w:linePitch="326" w:charSpace="-6145"/>
        </w:sectPr>
      </w:pPr>
    </w:p>
    <w:p w:rsidR="00762C45" w:rsidRDefault="00303B66">
      <w:pPr>
        <w:ind w:left="-57" w:firstLine="624"/>
        <w:jc w:val="both"/>
        <w:rPr>
          <w:sz w:val="22"/>
          <w:szCs w:val="22"/>
        </w:rPr>
      </w:pPr>
      <w:r>
        <w:rPr>
          <w:sz w:val="22"/>
          <w:szCs w:val="22"/>
        </w:rPr>
        <w:lastRenderedPageBreak/>
        <w:t>A seguir são apresentadas as demais atividades acadêmicas dos docentes do CAV incluindo pós-graduação, pesquisa, extensão, experiência profissional não acadêmica, desempenho acadêmico e profissional, publicações, produções intelectuais, técnicas, culturais e artísticas.</w:t>
      </w:r>
    </w:p>
    <w:p w:rsidR="00762C45" w:rsidRDefault="00762C45">
      <w:pPr>
        <w:ind w:left="-57" w:firstLine="624"/>
        <w:jc w:val="both"/>
        <w:rPr>
          <w:sz w:val="22"/>
          <w:szCs w:val="22"/>
        </w:rPr>
      </w:pPr>
    </w:p>
    <w:p w:rsidR="00762C45" w:rsidRDefault="00303B66">
      <w:pPr>
        <w:jc w:val="both"/>
        <w:rPr>
          <w:b/>
          <w:bCs/>
          <w:sz w:val="22"/>
          <w:szCs w:val="22"/>
        </w:rPr>
      </w:pPr>
      <w:r>
        <w:rPr>
          <w:b/>
          <w:bCs/>
          <w:sz w:val="22"/>
          <w:szCs w:val="22"/>
        </w:rPr>
        <w:t>Amanda Cristiane da Silva Costa</w:t>
      </w:r>
    </w:p>
    <w:p w:rsidR="00762C45" w:rsidRDefault="00303B66">
      <w:pPr>
        <w:jc w:val="both"/>
      </w:pPr>
      <w:r>
        <w:rPr>
          <w:b/>
          <w:bCs/>
          <w:sz w:val="22"/>
          <w:szCs w:val="22"/>
        </w:rPr>
        <w:t xml:space="preserve">Endereço para acessar este CV: </w:t>
      </w:r>
      <w:r>
        <w:rPr>
          <w:sz w:val="22"/>
          <w:szCs w:val="22"/>
        </w:rPr>
        <w:t>http://lattes.cnpq.br/8481062895772872</w:t>
      </w:r>
    </w:p>
    <w:p w:rsidR="00762C45" w:rsidRDefault="00303B66">
      <w:pPr>
        <w:tabs>
          <w:tab w:val="left" w:pos="786"/>
        </w:tabs>
        <w:jc w:val="both"/>
        <w:rPr>
          <w:sz w:val="22"/>
          <w:szCs w:val="22"/>
        </w:rPr>
      </w:pPr>
      <w:r>
        <w:rPr>
          <w:sz w:val="22"/>
          <w:szCs w:val="22"/>
        </w:rPr>
        <w:t>Possui graduação em Tecnologia em Processamento de Dados pela Universidade da Amazônia (2001). Atualmente é professora de ensino básico, técnico e tecnológico do Instituto Federal de Educação, Ciência e Tecnologia do Pará. Tem experiência na área de Ciência da Computação, com ênfase em Ciência da Computação, Informática na Educação e Licenciatura em Computação.</w:t>
      </w:r>
    </w:p>
    <w:p w:rsidR="00762C45" w:rsidRDefault="00303B66">
      <w:pPr>
        <w:tabs>
          <w:tab w:val="left" w:pos="786"/>
        </w:tabs>
        <w:spacing w:line="276" w:lineRule="auto"/>
        <w:jc w:val="both"/>
        <w:rPr>
          <w:sz w:val="22"/>
          <w:szCs w:val="22"/>
        </w:rPr>
      </w:pPr>
      <w:r>
        <w:rPr>
          <w:b/>
          <w:bCs/>
          <w:sz w:val="22"/>
          <w:szCs w:val="22"/>
        </w:rPr>
        <w:t>Ananias Pereira Neto</w:t>
      </w:r>
    </w:p>
    <w:p w:rsidR="00762C45" w:rsidRDefault="00303B66">
      <w:pPr>
        <w:jc w:val="both"/>
      </w:pPr>
      <w:r>
        <w:rPr>
          <w:b/>
          <w:bCs/>
          <w:sz w:val="22"/>
          <w:szCs w:val="22"/>
        </w:rPr>
        <w:t xml:space="preserve">Endereço para acessar este CV: </w:t>
      </w:r>
      <w:r>
        <w:rPr>
          <w:rStyle w:val="LinkdaInternet"/>
          <w:vanish/>
          <w:color w:val="00000A"/>
          <w:sz w:val="22"/>
          <w:szCs w:val="22"/>
        </w:rPr>
        <w:t>http://lattes.cnpq.br/8481062895772872</w:t>
      </w:r>
    </w:p>
    <w:p w:rsidR="00762C45" w:rsidRDefault="00303B66">
      <w:pPr>
        <w:jc w:val="both"/>
        <w:rPr>
          <w:sz w:val="22"/>
          <w:szCs w:val="22"/>
        </w:rPr>
      </w:pPr>
      <w:r>
        <w:rPr>
          <w:sz w:val="22"/>
          <w:szCs w:val="22"/>
        </w:rPr>
        <w:t xml:space="preserve">Graduado em Engenharia Elétrica pela Universidade Federal do Pará (2001) e em Engenharia da Computação pela Universidade Federal do Pará (2011), mestrado em Engenharia Elétrica, ênfase em Telecomunicações, pela Universidade Federal do Pará (2003). Professor Efetivo do Instituto Federal de Educação, Ciência e Tecnologia do Pará - IFPA. Foi durante 10 anos professor adjunto da UNAMA. Atualmente está cursando Doutorado no Programa de Pós-Graduação em Engenharia Elétrica, ênfase em Telecomunicações, pela Universidade Federal do Pará. Tem experiência na área de Sistemas Computacionais, atuando principalmente nos seguintes temas: Redes de Computadores, Sistemas Distribuídos, Comunicações Móveis e Processamento Digital de Sinais.  Atuação em demais atividades acadêmicas - Pós-graduação, pesquisa e extensão, experiência profissional não-acadêmica e desempenho acadêmico e profissional: publicações, produções intelectuais, técnicas, culturais e artísticas; </w:t>
      </w:r>
    </w:p>
    <w:p w:rsidR="00762C45" w:rsidRDefault="00303B66">
      <w:pPr>
        <w:jc w:val="both"/>
        <w:rPr>
          <w:sz w:val="22"/>
          <w:szCs w:val="22"/>
        </w:rPr>
      </w:pPr>
      <w:r>
        <w:rPr>
          <w:b/>
          <w:bCs/>
          <w:sz w:val="22"/>
          <w:szCs w:val="22"/>
        </w:rPr>
        <w:t>Ariwilson Gomes dos Santos</w:t>
      </w:r>
    </w:p>
    <w:p w:rsidR="00762C45" w:rsidRDefault="00303B66">
      <w:pPr>
        <w:jc w:val="both"/>
      </w:pPr>
      <w:r>
        <w:rPr>
          <w:b/>
          <w:bCs/>
          <w:sz w:val="22"/>
          <w:szCs w:val="22"/>
        </w:rPr>
        <w:t xml:space="preserve">Endereço para acessar este CV: </w:t>
      </w:r>
      <w:hyperlink r:id="rId23">
        <w:r>
          <w:rPr>
            <w:rStyle w:val="LinkdaInternet"/>
            <w:b/>
            <w:bCs/>
            <w:vanish/>
            <w:webHidden/>
            <w:color w:val="00000A"/>
            <w:sz w:val="22"/>
            <w:szCs w:val="22"/>
          </w:rPr>
          <w:t>http://lattes.cnpq.br/7152029697370440</w:t>
        </w:r>
      </w:hyperlink>
    </w:p>
    <w:p w:rsidR="00762C45" w:rsidRDefault="00303B66">
      <w:pPr>
        <w:jc w:val="both"/>
      </w:pPr>
      <w:r>
        <w:rPr>
          <w:sz w:val="22"/>
          <w:szCs w:val="22"/>
        </w:rPr>
        <w:t>Graduado em Pedagogia pela Universidade Estadual do Pará (2008) e Mestrado em Educação em Ciências e Matemáticas pela Universidade Federal do Pará (UFPA/2010). Atualmente é Doutorando do PPGECM da UFPA e Analista de Processos Educacionais do CEE/PA. Atuou como Coordenador Geral do PRONATEC na SEDUC/PA, conforme a PORTARIA Nº 798/2013-GS/SEDUC. Tem experiência Docente e Técnica na Educação Básica e Educação Superior, com ênfase em Educação Profissional em Periferias Urbanas, Séries Iniciais, Educação de Jovens e Adultos, Educação Superior, atuando principalmente nos seguintes temas: Representações Sociais; Meio Ambiente, Educação Patrimonial Ambiental, Educação Profissional, Relação entre Professores e Alunos e Metodologias de Ensino e da Pesquisa.</w:t>
      </w:r>
    </w:p>
    <w:p w:rsidR="00762C45" w:rsidRDefault="00303B66">
      <w:pPr>
        <w:jc w:val="both"/>
        <w:rPr>
          <w:sz w:val="22"/>
          <w:szCs w:val="22"/>
        </w:rPr>
      </w:pPr>
      <w:r>
        <w:rPr>
          <w:b/>
          <w:bCs/>
          <w:sz w:val="22"/>
          <w:szCs w:val="22"/>
        </w:rPr>
        <w:t>Camila Vieira da Silva</w:t>
      </w:r>
    </w:p>
    <w:p w:rsidR="00762C45" w:rsidRDefault="00303B66">
      <w:pPr>
        <w:jc w:val="both"/>
      </w:pPr>
      <w:r>
        <w:rPr>
          <w:b/>
          <w:bCs/>
          <w:sz w:val="22"/>
          <w:szCs w:val="22"/>
        </w:rPr>
        <w:t xml:space="preserve">Endereço para acessar este CV: </w:t>
      </w:r>
      <w:hyperlink r:id="rId24">
        <w:r>
          <w:rPr>
            <w:rStyle w:val="LinkdaInternet"/>
            <w:b/>
            <w:bCs/>
            <w:vanish/>
            <w:webHidden/>
            <w:color w:val="00000A"/>
            <w:sz w:val="22"/>
            <w:szCs w:val="22"/>
          </w:rPr>
          <w:t>http://lattes.cnpq.br/6935429698375570</w:t>
        </w:r>
      </w:hyperlink>
    </w:p>
    <w:p w:rsidR="00762C45" w:rsidRDefault="00303B66">
      <w:pPr>
        <w:jc w:val="both"/>
      </w:pPr>
      <w:r>
        <w:rPr>
          <w:sz w:val="22"/>
          <w:szCs w:val="22"/>
        </w:rPr>
        <w:t>Graduada em Engenharia Agronômica pela Universidade Estadual Paulista Júlio de Mesquita Filho (2002) e mestrado em Recursos Genéticos Vegetais pela Universidade Federal de Santa Catarina (2006) e doutorado em Desenvolvimento Rural pela Universidade Federal do Rio Grande do Sul (2013), pós-doutorado em Desenvolvimento Rural pela UFRGS (2014) e pós-doutorado em Agriculturas Amazônicas na Universidade Federal do Pará. Foi professora da UNC Campus Caçador e Campus Concórdia, foi bolsista DTI do CNPq, foi cooperada da COOPTRASC (Cooperativa de Trabalhadores da Reforma Agrária de Santa Catarina), foi extensionista da ASCAR-EMATER trabalhando na Secretaria de Desenvolvimento Rural, Pesca e Cooperativismo. Atuou no mestrado em Desenvolvimento Rural, UFRGS. Atualmente é docente no IFPA/Campus Avançado Vigia. Tem experiência na área de Agronomia, atuando principalmente nos seguintes temas: canais de comercialização de produtos oriundos de extrativismo, manejo de populações naturais, extrativismo, etnobotânica, etnoecologia e agroecologia.</w:t>
      </w:r>
    </w:p>
    <w:p w:rsidR="00762C45" w:rsidRDefault="00303B66">
      <w:pPr>
        <w:jc w:val="both"/>
        <w:rPr>
          <w:sz w:val="22"/>
          <w:szCs w:val="22"/>
        </w:rPr>
      </w:pPr>
      <w:r>
        <w:rPr>
          <w:b/>
          <w:bCs/>
          <w:sz w:val="22"/>
          <w:szCs w:val="22"/>
        </w:rPr>
        <w:t>Carlos Alberto Oliveira da Silva</w:t>
      </w:r>
    </w:p>
    <w:p w:rsidR="00762C45" w:rsidRDefault="00303B66">
      <w:pPr>
        <w:jc w:val="both"/>
      </w:pPr>
      <w:r>
        <w:rPr>
          <w:b/>
          <w:bCs/>
          <w:sz w:val="22"/>
          <w:szCs w:val="22"/>
        </w:rPr>
        <w:t xml:space="preserve">Endereço para acessar este CV: </w:t>
      </w:r>
      <w:hyperlink r:id="rId25">
        <w:r>
          <w:rPr>
            <w:rStyle w:val="LinkdaInternet"/>
            <w:b/>
            <w:bCs/>
            <w:vanish/>
            <w:webHidden/>
            <w:color w:val="00000A"/>
            <w:sz w:val="22"/>
            <w:szCs w:val="22"/>
          </w:rPr>
          <w:t>http://lattes.cnpq.br/0546533044513924</w:t>
        </w:r>
      </w:hyperlink>
    </w:p>
    <w:p w:rsidR="00762C45" w:rsidRDefault="00303B66">
      <w:pPr>
        <w:jc w:val="both"/>
      </w:pPr>
      <w:r>
        <w:rPr>
          <w:sz w:val="22"/>
          <w:szCs w:val="22"/>
        </w:rPr>
        <w:t>Graduado em Engenharia Civil pela Universidade da Amazônia (1994) e graduação em Engenharia Mecânica pela Universidade Federal do Pará (1997). Atualmente é professor de ensino básico, técnico e tecnológico do Instituto Federal de Educação, Ciência e Tecnologia do Pará. Tem experiência na área de engenharia mecânica tendo atuado como engenheiro de manutenção, engenheiro de projetos e gerente de produção. Participou como coordenador no Instituto Federal do Pará das palestras Biomateriais Metálicos e potencial Amazônico para a produção de Estruturas Biocompostas Para a Indústria Automotiva. Autor de duas publicações relacionadas ao comportamento elétrico e mecânico do alumínio. Possui Curso a nível de Especialização na Área de Materiais.</w:t>
      </w:r>
    </w:p>
    <w:p w:rsidR="00762C45" w:rsidRDefault="00762C45">
      <w:pPr>
        <w:jc w:val="both"/>
        <w:rPr>
          <w:sz w:val="22"/>
          <w:szCs w:val="22"/>
        </w:rPr>
      </w:pPr>
    </w:p>
    <w:p w:rsidR="00762C45" w:rsidRDefault="00303B66">
      <w:pPr>
        <w:jc w:val="both"/>
        <w:rPr>
          <w:sz w:val="22"/>
          <w:szCs w:val="22"/>
        </w:rPr>
      </w:pPr>
      <w:r>
        <w:rPr>
          <w:b/>
          <w:bCs/>
          <w:sz w:val="22"/>
          <w:szCs w:val="22"/>
        </w:rPr>
        <w:lastRenderedPageBreak/>
        <w:t>Erica Cristina Rodrigues Nascimento</w:t>
      </w:r>
    </w:p>
    <w:p w:rsidR="00762C45" w:rsidRDefault="00303B66">
      <w:pPr>
        <w:jc w:val="both"/>
      </w:pPr>
      <w:r>
        <w:rPr>
          <w:b/>
          <w:bCs/>
          <w:sz w:val="22"/>
          <w:szCs w:val="22"/>
        </w:rPr>
        <w:t xml:space="preserve">Endereço para acessar este CV: </w:t>
      </w:r>
      <w:hyperlink r:id="rId26">
        <w:r>
          <w:rPr>
            <w:rStyle w:val="LinkdaInternet"/>
            <w:b/>
            <w:bCs/>
            <w:vanish/>
            <w:webHidden/>
            <w:color w:val="00000A"/>
            <w:sz w:val="22"/>
            <w:szCs w:val="22"/>
          </w:rPr>
          <w:t>http://lattes.cnpq.br/3918455553772163</w:t>
        </w:r>
      </w:hyperlink>
    </w:p>
    <w:p w:rsidR="00762C45" w:rsidRDefault="00303B66">
      <w:pPr>
        <w:jc w:val="both"/>
      </w:pPr>
      <w:r>
        <w:rPr>
          <w:sz w:val="22"/>
          <w:szCs w:val="22"/>
        </w:rPr>
        <w:t>Graduada em Letras pela Universidade Federal do Pará e Especialização em Língua Portuguesa e Educação do Campo. Atualmente é aluna no Programa de Pós-Graduação em Estudos da Linguagem da Universidade Federal Fluminense e professora do Ensino Básico, Técnico, Tecnológico do Instituto Federal do Pará. Atua nas áreas: Língua Portuguesa, Literatura, Linguística e Educação. É professora de Língua Portuguesa, Literatura, Redação Técnica e Científica e Português Instrumental no Campus Vigia</w:t>
      </w:r>
    </w:p>
    <w:p w:rsidR="00762C45" w:rsidRDefault="00303B66">
      <w:pPr>
        <w:jc w:val="both"/>
        <w:rPr>
          <w:sz w:val="22"/>
          <w:szCs w:val="22"/>
        </w:rPr>
      </w:pPr>
      <w:r>
        <w:rPr>
          <w:b/>
          <w:bCs/>
          <w:sz w:val="22"/>
          <w:szCs w:val="22"/>
        </w:rPr>
        <w:t>Igor Albuquerque Cieslak</w:t>
      </w:r>
    </w:p>
    <w:p w:rsidR="00762C45" w:rsidRDefault="00303B66">
      <w:pPr>
        <w:jc w:val="both"/>
      </w:pPr>
      <w:r>
        <w:rPr>
          <w:b/>
          <w:bCs/>
          <w:sz w:val="22"/>
          <w:szCs w:val="22"/>
        </w:rPr>
        <w:t xml:space="preserve">Endereço para acessar este CV: </w:t>
      </w:r>
      <w:hyperlink r:id="rId27">
        <w:r>
          <w:rPr>
            <w:rStyle w:val="LinkdaInternet"/>
            <w:b/>
            <w:bCs/>
            <w:vanish/>
            <w:webHidden/>
            <w:color w:val="00000A"/>
            <w:sz w:val="22"/>
            <w:szCs w:val="22"/>
          </w:rPr>
          <w:t>http://lattes.cnpq.br/7494527417615299</w:t>
        </w:r>
      </w:hyperlink>
    </w:p>
    <w:p w:rsidR="00762C45" w:rsidRDefault="00303B66">
      <w:pPr>
        <w:jc w:val="both"/>
      </w:pPr>
      <w:r>
        <w:rPr>
          <w:sz w:val="22"/>
          <w:szCs w:val="22"/>
        </w:rPr>
        <w:t>Graduado em Direito Bacharelado pela União Pioneira de Integração Social (UPIS) e Administração com ênfase em Comércio Exterior pela União Educacional de Brasília (UNEB). Aprovado no VII Exame da OAB, enquanto cursava o 9º semestre do curso de Direito. Possui MBA em Gestão em Estratégia Empresarial pela Universidade Cidade de São Paulo (UNICID). Possui trajetória de atuação profissional nos segmentos de Direito, Administração, Relações Internacionais e Comércio Exterior, em organizações como o Exército Brasileiro, Ministério das Relações Exteriores (Itamaraty), Tribunal de Justiça do Distrito Federal e dos Territórios (TJDFT), Superior Tribunal Militar (STM) e escritório de advocacia. Iniciou na carreira acadêmica universitária sendo monitor de Direito no segundo ano de faculdade. Tem uma ampla miríade de conhecimentos e habilidades em Licitações e Contratos, foi Chefe da Seção de Aquisições, Licitações e Contratos, pregoeiro e presidente da comissão permanente de licitações do Hospital de Guarnição de Marabá (H Gu Marabá). Atualmente, é professor com dedicação exclusiva do Instituto Federal de Ciência e Tecnologia do Pará (IFPA).</w:t>
      </w:r>
    </w:p>
    <w:p w:rsidR="00762C45" w:rsidRDefault="00303B66">
      <w:pPr>
        <w:jc w:val="both"/>
      </w:pPr>
      <w:r>
        <w:rPr>
          <w:b/>
          <w:bCs/>
          <w:sz w:val="22"/>
          <w:szCs w:val="22"/>
        </w:rPr>
        <w:t xml:space="preserve">Ingrid Paola Ribeiro Tomaz Cunha </w:t>
      </w:r>
    </w:p>
    <w:p w:rsidR="00762C45" w:rsidRDefault="00303B66">
      <w:pPr>
        <w:jc w:val="both"/>
      </w:pPr>
      <w:r>
        <w:rPr>
          <w:b/>
          <w:bCs/>
          <w:sz w:val="22"/>
          <w:szCs w:val="22"/>
        </w:rPr>
        <w:t>Endereço para acessar este CV: http://lattes.cnpq.br/3480947585631140</w:t>
      </w:r>
    </w:p>
    <w:p w:rsidR="00762C45" w:rsidRDefault="00303B66">
      <w:pPr>
        <w:jc w:val="both"/>
        <w:rPr>
          <w:color w:val="000000"/>
          <w:sz w:val="22"/>
          <w:szCs w:val="22"/>
          <w:highlight w:val="white"/>
        </w:rPr>
      </w:pPr>
      <w:r>
        <w:rPr>
          <w:color w:val="000000"/>
          <w:sz w:val="22"/>
          <w:szCs w:val="22"/>
          <w:shd w:val="clear" w:color="auto" w:fill="FFFFFF"/>
        </w:rPr>
        <w:t>Graduada em Engenharia de Pesca pela Universidade Federal do Pará/Campus Bragança (UFPA/2010). Mestrado em Aquicultura e Recursos Aquáticos Tropicais pela Universidade Federal da Amazônia (UFRA/2015). Atualmente é Professora do quadro efetivo do Ensino Básico, Técnico e Tecnológico no Instituto Federal de Educação, Ciência e Tecnologia do Pará - Campus avançado de Vigia (IFPA). Experiência na a área de Ciência e Tecnologia de Alimentos, ênfase em Aproveitamento de Subprodutos a Base de Pescado, atuando principalmente nos seguintes temas: Aproveitamento de resíduo, Avaliação da qualidade do pescado, Manipulação de alimentos e na área de Aquicultura com avaliação de controle em qualidade de água.</w:t>
      </w:r>
    </w:p>
    <w:p w:rsidR="00762C45" w:rsidRDefault="00303B66">
      <w:pPr>
        <w:jc w:val="both"/>
        <w:rPr>
          <w:sz w:val="22"/>
          <w:szCs w:val="22"/>
        </w:rPr>
      </w:pPr>
      <w:r>
        <w:rPr>
          <w:b/>
          <w:bCs/>
          <w:sz w:val="22"/>
          <w:szCs w:val="22"/>
        </w:rPr>
        <w:t>Keila Renata Moreira</w:t>
      </w:r>
      <w:r>
        <w:rPr>
          <w:sz w:val="22"/>
          <w:szCs w:val="22"/>
        </w:rPr>
        <w:t xml:space="preserve"> </w:t>
      </w:r>
      <w:r>
        <w:rPr>
          <w:b/>
          <w:bCs/>
          <w:sz w:val="22"/>
          <w:szCs w:val="22"/>
        </w:rPr>
        <w:t>Mourão</w:t>
      </w:r>
    </w:p>
    <w:p w:rsidR="00762C45" w:rsidRDefault="00303B66">
      <w:pPr>
        <w:jc w:val="both"/>
      </w:pPr>
      <w:r>
        <w:rPr>
          <w:b/>
          <w:bCs/>
          <w:sz w:val="22"/>
          <w:szCs w:val="22"/>
        </w:rPr>
        <w:t xml:space="preserve">Endereço para acessar este CV: </w:t>
      </w:r>
      <w:hyperlink r:id="rId28">
        <w:r>
          <w:rPr>
            <w:rStyle w:val="LinkdaInternet"/>
            <w:b/>
            <w:bCs/>
            <w:vanish/>
            <w:webHidden/>
            <w:color w:val="00000A"/>
            <w:sz w:val="22"/>
            <w:szCs w:val="22"/>
          </w:rPr>
          <w:t>http://lattes.cnpq.br/7577006494436444</w:t>
        </w:r>
      </w:hyperlink>
    </w:p>
    <w:p w:rsidR="00762C45" w:rsidRDefault="00303B66">
      <w:pPr>
        <w:jc w:val="both"/>
      </w:pPr>
      <w:r>
        <w:rPr>
          <w:sz w:val="22"/>
          <w:szCs w:val="22"/>
        </w:rPr>
        <w:t xml:space="preserve">Graduada em Oceanografia pela Universidade Federal do Pará (2004), mestrado em Ciência Animal pela Universidade Federal do Pará (2007) e doutorado em Ecologia Aquática e Pesca pela Universidade Federal do Pará (2012). Atualmente é do quadro permanente do Instituto Federal de Educação, Ciência e Tecnologia do Pará – </w:t>
      </w:r>
      <w:r>
        <w:rPr>
          <w:i/>
          <w:sz w:val="22"/>
          <w:szCs w:val="22"/>
        </w:rPr>
        <w:t xml:space="preserve">Campus </w:t>
      </w:r>
      <w:r>
        <w:rPr>
          <w:sz w:val="22"/>
          <w:szCs w:val="22"/>
        </w:rPr>
        <w:t>Avançado Vigia, atuando como Professora e Coordenadora de Pesquisa, Extensão e Inovação. Tem experiência na área de Ecologia de Recursos Pesqueiros e Pesca Artesanal, com ênfase em Manejo e Conservação dos Recursos Pesqueiros e Organização Social e da Cadeia Produtiva da Pesca Artesanal. Atuando principalmente nos seguintes temas: manejo da pesca artesanal, ecologia e conservação da ictiofauna e SIG. Desenvolveu durante grande parte da vida profissional atividades de pesquisas que visam a busca de subsídios para o manejo e conservação dos recursos pesqueiros e ictiofauna, sempre interagindo com o binômio (peixe-pescador), executando na pesca artesanal atividades de pesquisa e extensão referentes a coordenação, organização e realização de cursos, oficinas, reuniões e trabalhos participativos junto as comunidades de pescadores. De 2012 a 2015, foi coordenadora do componente Incentivo à Pesca, parte integrante do Projeto de Incentivo à Pesca Sustentável no rio Xingu.</w:t>
      </w:r>
    </w:p>
    <w:p w:rsidR="00762C45" w:rsidRDefault="00303B66">
      <w:pPr>
        <w:jc w:val="both"/>
        <w:rPr>
          <w:sz w:val="22"/>
          <w:szCs w:val="22"/>
        </w:rPr>
      </w:pPr>
      <w:r>
        <w:rPr>
          <w:b/>
          <w:bCs/>
          <w:sz w:val="22"/>
          <w:szCs w:val="22"/>
        </w:rPr>
        <w:t>Liliane Amanda Oliveira das Dores</w:t>
      </w:r>
    </w:p>
    <w:p w:rsidR="00762C45" w:rsidRDefault="00303B66">
      <w:pPr>
        <w:jc w:val="both"/>
      </w:pPr>
      <w:r>
        <w:rPr>
          <w:b/>
          <w:bCs/>
          <w:sz w:val="22"/>
          <w:szCs w:val="22"/>
        </w:rPr>
        <w:t xml:space="preserve">Endereço para acessar este CV: </w:t>
      </w:r>
      <w:hyperlink r:id="rId29">
        <w:r>
          <w:rPr>
            <w:rStyle w:val="LinkdaInternet"/>
            <w:b/>
            <w:bCs/>
            <w:vanish/>
            <w:webHidden/>
            <w:color w:val="00000A"/>
            <w:sz w:val="22"/>
            <w:szCs w:val="22"/>
          </w:rPr>
          <w:t>http://lattes.cnpq.br/1818309226187778</w:t>
        </w:r>
      </w:hyperlink>
    </w:p>
    <w:p w:rsidR="00762C45" w:rsidRDefault="00303B66">
      <w:pPr>
        <w:jc w:val="both"/>
      </w:pPr>
      <w:r>
        <w:rPr>
          <w:sz w:val="22"/>
          <w:szCs w:val="22"/>
        </w:rPr>
        <w:t>Graduada em Turismo, Mestre em Gestão de Recursos Naturais e Desenvolvimento Local na Amazônia no Núcleo de Meio Ambiente (NUMA) pela Universidade Federal do Pará. Especialista em Gestão e Planejamento do Ecoturismo pela Universidade Federal do Pará (2010). Possui Graduação em Turismo pela Universidade Federal do Pará. Professora Efetiva do Instituto Federal de Educação, Ciência e Tecnologia do Pará, atuando como professora e Coordenadora do Curso Técnico Subsequente em Eventos do Instituto Federal de Educação Ciência e Tecnologia do Pará Campus Avançado Vigia.</w:t>
      </w:r>
    </w:p>
    <w:p w:rsidR="00762C45" w:rsidRDefault="00762C45">
      <w:pPr>
        <w:jc w:val="both"/>
        <w:rPr>
          <w:b/>
          <w:bCs/>
          <w:sz w:val="22"/>
          <w:szCs w:val="22"/>
        </w:rPr>
      </w:pPr>
    </w:p>
    <w:p w:rsidR="00762C45" w:rsidRDefault="00303B66">
      <w:pPr>
        <w:jc w:val="both"/>
      </w:pPr>
      <w:r>
        <w:rPr>
          <w:b/>
          <w:bCs/>
          <w:sz w:val="22"/>
          <w:szCs w:val="22"/>
        </w:rPr>
        <w:t>Paulo Marcelo Oliveira Lins</w:t>
      </w:r>
    </w:p>
    <w:p w:rsidR="00762C45" w:rsidRDefault="00303B66">
      <w:pPr>
        <w:jc w:val="both"/>
      </w:pPr>
      <w:r>
        <w:rPr>
          <w:b/>
          <w:bCs/>
          <w:sz w:val="22"/>
          <w:szCs w:val="22"/>
        </w:rPr>
        <w:t xml:space="preserve">Endereço para acessar este CV: </w:t>
      </w:r>
    </w:p>
    <w:p w:rsidR="00762C45" w:rsidRDefault="00303B66">
      <w:pPr>
        <w:jc w:val="both"/>
      </w:pPr>
      <w:r>
        <w:rPr>
          <w:sz w:val="22"/>
          <w:szCs w:val="22"/>
        </w:rPr>
        <w:lastRenderedPageBreak/>
        <w:t xml:space="preserve">Graduado em Engenharia de Pesca pela Universidade Federal Rural da Amazônia (2008) e mestrado Mestre em Ecologia Aquática e Pesca pela Universidade Federal do Pará (2011). Atuou como Professor de Ensino Básico, Técnico e Tecnológico  do </w:t>
      </w:r>
      <w:r>
        <w:rPr>
          <w:i/>
          <w:iCs/>
          <w:sz w:val="22"/>
          <w:szCs w:val="22"/>
        </w:rPr>
        <w:t>Campus</w:t>
      </w:r>
      <w:r>
        <w:rPr>
          <w:sz w:val="22"/>
          <w:szCs w:val="22"/>
        </w:rPr>
        <w:t xml:space="preserve"> Tucuruí/IFPA, Possui experiência na área de Ecologia e Recursos Pesqueiros.</w:t>
      </w:r>
      <w:r>
        <w:rPr>
          <w:rStyle w:val="LinkdaInternet"/>
          <w:b/>
          <w:bCs/>
          <w:vanish/>
          <w:color w:val="00000A"/>
          <w:sz w:val="22"/>
          <w:szCs w:val="22"/>
        </w:rPr>
        <w:t>Mestre em Gestão de Recursos Naturais e Desenvolvimento Local na Amazônia no Núcleo de Meio Ambiente (NUMA) pela Universidade Federal do Pará. Especialista em Gestão e Planejamento do Ecoturismo pela Universidade Federal do Pará (2010). Possui Graduação em Turismo pela Universidade Federal do Pará. Professora Efetiva do Instituto Federal de Educação, Ciência e Tecnologia do Pará, atuando como professora e Coordenadora do Curso Técnico Subsequente em Eventos do Instituto Federal de Educação Ciência e Tecnologia do Pará Campus Avançado Vigia.</w:t>
      </w:r>
    </w:p>
    <w:p w:rsidR="00762C45" w:rsidRDefault="00303B66">
      <w:pPr>
        <w:jc w:val="both"/>
      </w:pPr>
      <w:r>
        <w:rPr>
          <w:b/>
          <w:bCs/>
          <w:sz w:val="22"/>
          <w:szCs w:val="22"/>
        </w:rPr>
        <w:t>Wilson Rogério Soares e Silva</w:t>
      </w:r>
    </w:p>
    <w:p w:rsidR="00762C45" w:rsidRDefault="00303B66">
      <w:pPr>
        <w:jc w:val="both"/>
      </w:pPr>
      <w:r>
        <w:rPr>
          <w:b/>
          <w:bCs/>
          <w:sz w:val="22"/>
          <w:szCs w:val="22"/>
        </w:rPr>
        <w:t xml:space="preserve">Endereço para acessar este CV: </w:t>
      </w:r>
      <w:hyperlink r:id="rId30">
        <w:r>
          <w:rPr>
            <w:rStyle w:val="LinkdaInternet"/>
            <w:b/>
            <w:bCs/>
            <w:vanish/>
            <w:webHidden/>
            <w:color w:val="00000A"/>
            <w:sz w:val="22"/>
            <w:szCs w:val="22"/>
          </w:rPr>
          <w:t>http://lattes.cnpq.br/8018086989387788</w:t>
        </w:r>
      </w:hyperlink>
    </w:p>
    <w:p w:rsidR="00762C45" w:rsidRDefault="00303B66">
      <w:pPr>
        <w:jc w:val="both"/>
      </w:pPr>
      <w:r>
        <w:rPr>
          <w:sz w:val="22"/>
          <w:szCs w:val="22"/>
        </w:rPr>
        <w:t xml:space="preserve">Graduado em Sistemas de Informação pela Universidade Federal do Pará (2007). Especialização em Engenharia de Sistemas pela ESAB (2011). Mestrado em andamento em Ciência da Computação-UFMA (2015). Atualmente é professor de informática do Instituto Federal do Pará - </w:t>
      </w:r>
      <w:r>
        <w:rPr>
          <w:i/>
          <w:sz w:val="22"/>
          <w:szCs w:val="22"/>
        </w:rPr>
        <w:t>Campus</w:t>
      </w:r>
      <w:r>
        <w:rPr>
          <w:sz w:val="22"/>
          <w:szCs w:val="22"/>
        </w:rPr>
        <w:t xml:space="preserve"> Vigia.</w:t>
      </w:r>
    </w:p>
    <w:p w:rsidR="00762C45" w:rsidRDefault="00303B66">
      <w:pPr>
        <w:jc w:val="both"/>
        <w:rPr>
          <w:sz w:val="22"/>
          <w:szCs w:val="22"/>
        </w:rPr>
      </w:pPr>
      <w:r>
        <w:rPr>
          <w:b/>
          <w:bCs/>
          <w:sz w:val="22"/>
          <w:szCs w:val="22"/>
        </w:rPr>
        <w:t>Vanilda de Magalhães Martins Vasconcelos</w:t>
      </w:r>
    </w:p>
    <w:p w:rsidR="00762C45" w:rsidRDefault="00303B66">
      <w:pPr>
        <w:jc w:val="both"/>
      </w:pPr>
      <w:r>
        <w:rPr>
          <w:b/>
          <w:bCs/>
          <w:sz w:val="22"/>
          <w:szCs w:val="22"/>
        </w:rPr>
        <w:t xml:space="preserve">Endereço para acessar este CV: </w:t>
      </w:r>
      <w:hyperlink r:id="rId31">
        <w:r>
          <w:rPr>
            <w:rStyle w:val="LinkdaInternet"/>
            <w:b/>
            <w:bCs/>
            <w:vanish/>
            <w:webHidden/>
            <w:color w:val="00000A"/>
            <w:sz w:val="22"/>
            <w:szCs w:val="22"/>
          </w:rPr>
          <w:t>http://lattes.cnpq.br/4494410479114543</w:t>
        </w:r>
      </w:hyperlink>
    </w:p>
    <w:p w:rsidR="00762C45" w:rsidRDefault="00303B66">
      <w:pPr>
        <w:jc w:val="both"/>
      </w:pPr>
      <w:r>
        <w:rPr>
          <w:sz w:val="22"/>
          <w:szCs w:val="22"/>
        </w:rPr>
        <w:t>Graduada em Licenciatura em Matemática (1999), Mestre em Ciências Ambientais pela Universidade de Taubaté (UNITAU-S.P. (2010) com Especialização em Educação Matemática (2003) pela Universidade Federal do Pará. É professora permanente do Instituto Federal, de Educação, Ciência e Tecnologia do Pará - IFPA. Atua regularmente no PARFOR e PROCAMPO, desde 2011. É diretora de Ensino e Coordenadora Adjunta do Pronatec no IFPA/ Campus Avançado Vigia.</w:t>
      </w:r>
    </w:p>
    <w:p w:rsidR="00762C45" w:rsidRDefault="00303B66">
      <w:pPr>
        <w:jc w:val="both"/>
        <w:rPr>
          <w:sz w:val="22"/>
          <w:szCs w:val="22"/>
        </w:rPr>
      </w:pPr>
      <w:r>
        <w:rPr>
          <w:b/>
          <w:bCs/>
          <w:sz w:val="22"/>
          <w:szCs w:val="22"/>
        </w:rPr>
        <w:t>Ylana Priscila da Costa Melo Carvalho</w:t>
      </w:r>
    </w:p>
    <w:p w:rsidR="00762C45" w:rsidRDefault="00303B66">
      <w:pPr>
        <w:jc w:val="both"/>
      </w:pPr>
      <w:r>
        <w:rPr>
          <w:b/>
          <w:bCs/>
          <w:sz w:val="22"/>
          <w:szCs w:val="22"/>
        </w:rPr>
        <w:t xml:space="preserve">Endereço para acessar este CV: </w:t>
      </w:r>
      <w:hyperlink r:id="rId32">
        <w:r>
          <w:rPr>
            <w:rStyle w:val="LinkdaInternet"/>
            <w:b/>
            <w:bCs/>
            <w:vanish/>
            <w:webHidden/>
            <w:color w:val="00000A"/>
            <w:sz w:val="22"/>
            <w:szCs w:val="22"/>
          </w:rPr>
          <w:t>http://lattes.cnpq.br/3131317126051275</w:t>
        </w:r>
      </w:hyperlink>
    </w:p>
    <w:p w:rsidR="00762C45" w:rsidRDefault="00303B66">
      <w:pPr>
        <w:jc w:val="both"/>
      </w:pPr>
      <w:r>
        <w:rPr>
          <w:sz w:val="22"/>
          <w:szCs w:val="22"/>
        </w:rPr>
        <w:t>Graduada em Engenharia de Pesca pela Universidade Federal Rural da Amazônia (2005) e mestrado em Ecologia Aquática e Pesca pela Universidade Federal do Pará (2009). Atuando como professora Visitante na Universidade Federal do Pará, Instituto de Filosofia e Ciências Humana, no curso de Geografia (Modalidade PARFOR), ministrando a disciplina de Introdução a Ecologia desde 2013. Com experiência na área de Ecologia e Recursos Pesqueiros.</w:t>
      </w:r>
    </w:p>
    <w:p w:rsidR="00762C45" w:rsidRDefault="00303B66">
      <w:pPr>
        <w:ind w:firstLine="567"/>
        <w:jc w:val="both"/>
        <w:rPr>
          <w:sz w:val="22"/>
          <w:szCs w:val="22"/>
        </w:rPr>
      </w:pPr>
      <w:r>
        <w:rPr>
          <w:sz w:val="22"/>
          <w:szCs w:val="22"/>
        </w:rPr>
        <w:t xml:space="preserve">Os procedimentos adotados para substituição eventual dos servidores docentes do quadro, quando necessário, são realizados através de Processos Seletivos para Professor Substituto ou por meio de solicitação de professores de outros </w:t>
      </w:r>
      <w:r>
        <w:rPr>
          <w:i/>
          <w:sz w:val="22"/>
          <w:szCs w:val="22"/>
        </w:rPr>
        <w:t>campi</w:t>
      </w:r>
      <w:r>
        <w:rPr>
          <w:sz w:val="22"/>
          <w:szCs w:val="22"/>
        </w:rPr>
        <w:t xml:space="preserve"> para ministrar disciplinas nos cursos ofertados.</w:t>
      </w:r>
    </w:p>
    <w:p w:rsidR="00762C45" w:rsidRDefault="00303B66">
      <w:pPr>
        <w:ind w:firstLine="567"/>
        <w:jc w:val="both"/>
        <w:rPr>
          <w:b/>
          <w:bCs/>
          <w:color w:val="00B050"/>
          <w:sz w:val="22"/>
          <w:szCs w:val="22"/>
        </w:rPr>
      </w:pPr>
      <w:r>
        <w:rPr>
          <w:color w:val="000000"/>
          <w:sz w:val="22"/>
          <w:szCs w:val="22"/>
        </w:rPr>
        <w:t>A expansão do quadro de servidores docentes deverá ocorrer através da oferta de vagas para profissionais, através de Concurso Público ou de Processo de remoção interna nas áreas de Agropecuária, Engenharia Agrícola, Informática e Turismo. Tecnologia de Alimentos, entre outras demandadas para os cursos em andamento e a serem implantados.</w:t>
      </w:r>
    </w:p>
    <w:p w:rsidR="00762C45" w:rsidRDefault="00303B66">
      <w:pPr>
        <w:ind w:firstLine="567"/>
      </w:pPr>
      <w:r>
        <w:rPr>
          <w:sz w:val="22"/>
          <w:szCs w:val="22"/>
        </w:rPr>
        <w:t xml:space="preserve">O Plano de cargos, carreiras e remuneração dos servidores do CAV segue o previsto na legislação em vigor para os trabalhadores público federal da Educação Básica e Tecnológica, sendo que o </w:t>
      </w:r>
      <w:r>
        <w:rPr>
          <w:i/>
          <w:sz w:val="22"/>
          <w:szCs w:val="22"/>
        </w:rPr>
        <w:t>campus</w:t>
      </w:r>
      <w:r>
        <w:rPr>
          <w:sz w:val="22"/>
          <w:szCs w:val="22"/>
        </w:rPr>
        <w:t xml:space="preserve"> não tem nenhuma autonomia sobre essa questão</w:t>
      </w:r>
      <w:r>
        <w:rPr>
          <w:color w:val="000000"/>
          <w:sz w:val="22"/>
          <w:szCs w:val="22"/>
        </w:rPr>
        <w:t xml:space="preserve">. </w:t>
      </w:r>
    </w:p>
    <w:p w:rsidR="00762C45" w:rsidRDefault="00762C45">
      <w:pPr>
        <w:tabs>
          <w:tab w:val="left" w:pos="278"/>
        </w:tabs>
        <w:spacing w:line="276" w:lineRule="auto"/>
        <w:ind w:left="57"/>
        <w:jc w:val="both"/>
        <w:rPr>
          <w:b/>
          <w:bCs/>
          <w:sz w:val="22"/>
          <w:szCs w:val="22"/>
        </w:rPr>
      </w:pPr>
    </w:p>
    <w:p w:rsidR="00762C45" w:rsidRDefault="00303B66">
      <w:pPr>
        <w:pStyle w:val="Ttulo1"/>
        <w:widowControl/>
        <w:numPr>
          <w:ilvl w:val="2"/>
          <w:numId w:val="16"/>
        </w:numPr>
        <w:tabs>
          <w:tab w:val="left" w:pos="0"/>
        </w:tabs>
        <w:spacing w:line="276" w:lineRule="auto"/>
        <w:ind w:left="567" w:hanging="567"/>
        <w:jc w:val="both"/>
        <w:rPr>
          <w:b/>
          <w:sz w:val="22"/>
          <w:szCs w:val="22"/>
        </w:rPr>
      </w:pPr>
      <w:bookmarkStart w:id="83" w:name="_Toc474391216"/>
      <w:r>
        <w:rPr>
          <w:b/>
          <w:sz w:val="22"/>
          <w:szCs w:val="22"/>
        </w:rPr>
        <w:t>Corpo Técnico-Administrativo</w:t>
      </w:r>
      <w:bookmarkEnd w:id="83"/>
      <w:r>
        <w:rPr>
          <w:b/>
          <w:sz w:val="22"/>
          <w:szCs w:val="22"/>
        </w:rPr>
        <w:t xml:space="preserve"> </w:t>
      </w:r>
    </w:p>
    <w:p w:rsidR="00762C45" w:rsidRDefault="00762C45"/>
    <w:p w:rsidR="00762C45" w:rsidRDefault="00303B66">
      <w:pPr>
        <w:ind w:firstLine="567"/>
        <w:jc w:val="both"/>
        <w:rPr>
          <w:color w:val="FF3333"/>
        </w:rPr>
      </w:pPr>
      <w:r>
        <w:rPr>
          <w:sz w:val="22"/>
          <w:szCs w:val="22"/>
        </w:rPr>
        <w:t xml:space="preserve">Atualmente o Corpo técnico-administrativo do </w:t>
      </w:r>
      <w:r>
        <w:rPr>
          <w:i/>
          <w:sz w:val="22"/>
          <w:szCs w:val="22"/>
        </w:rPr>
        <w:t xml:space="preserve">Campus </w:t>
      </w:r>
      <w:r>
        <w:rPr>
          <w:sz w:val="22"/>
          <w:szCs w:val="22"/>
        </w:rPr>
        <w:t>Avançado Vigia é composto por 12 (doze) servidores, conforme especificado no Quadro 10 a seguir apresentado.</w:t>
      </w:r>
    </w:p>
    <w:p w:rsidR="00762C45" w:rsidRDefault="00303B66">
      <w:pPr>
        <w:tabs>
          <w:tab w:val="left" w:pos="1077"/>
        </w:tabs>
        <w:spacing w:line="276" w:lineRule="auto"/>
        <w:ind w:left="57"/>
        <w:jc w:val="both"/>
        <w:rPr>
          <w:b/>
          <w:bCs/>
          <w:color w:val="FF0000"/>
          <w:sz w:val="22"/>
          <w:szCs w:val="22"/>
        </w:rPr>
      </w:pPr>
      <w:r>
        <w:rPr>
          <w:b/>
          <w:bCs/>
          <w:sz w:val="22"/>
          <w:szCs w:val="22"/>
        </w:rPr>
        <w:tab/>
      </w:r>
    </w:p>
    <w:p w:rsidR="00762C45" w:rsidRDefault="00303B66">
      <w:pPr>
        <w:tabs>
          <w:tab w:val="left" w:pos="786"/>
        </w:tabs>
        <w:jc w:val="center"/>
      </w:pPr>
      <w:bookmarkStart w:id="84" w:name="_Toc474391118"/>
      <w:bookmarkStart w:id="85" w:name="_Toc472974288"/>
      <w:r>
        <w:rPr>
          <w:b/>
          <w:sz w:val="20"/>
          <w:szCs w:val="20"/>
        </w:rPr>
        <w:t xml:space="preserve">Quadro </w:t>
      </w:r>
      <w:r>
        <w:rPr>
          <w:b/>
          <w:sz w:val="20"/>
          <w:szCs w:val="20"/>
        </w:rPr>
        <w:fldChar w:fldCharType="begin"/>
      </w:r>
      <w:r>
        <w:instrText>SEQ Quadro \* ARABIC</w:instrText>
      </w:r>
      <w:r>
        <w:fldChar w:fldCharType="separate"/>
      </w:r>
      <w:r>
        <w:rPr>
          <w:noProof/>
        </w:rPr>
        <w:t>10</w:t>
      </w:r>
      <w:r>
        <w:fldChar w:fldCharType="end"/>
      </w:r>
      <w:r>
        <w:rPr>
          <w:b/>
          <w:sz w:val="20"/>
          <w:szCs w:val="20"/>
        </w:rPr>
        <w:t>. Titulação e regime de trabalho dos servidores técnico-administrativos</w:t>
      </w:r>
      <w:bookmarkEnd w:id="84"/>
      <w:bookmarkEnd w:id="85"/>
      <w:r>
        <w:rPr>
          <w:b/>
          <w:sz w:val="20"/>
          <w:szCs w:val="20"/>
        </w:rPr>
        <w:t xml:space="preserve"> do CAV</w:t>
      </w:r>
    </w:p>
    <w:p w:rsidR="00762C45" w:rsidRDefault="00762C45">
      <w:pPr>
        <w:tabs>
          <w:tab w:val="left" w:pos="786"/>
        </w:tabs>
        <w:ind w:firstLine="567"/>
        <w:jc w:val="both"/>
        <w:rPr>
          <w:b/>
          <w:sz w:val="20"/>
          <w:szCs w:val="20"/>
        </w:rPr>
      </w:pPr>
    </w:p>
    <w:tbl>
      <w:tblPr>
        <w:tblW w:w="9568" w:type="dxa"/>
        <w:tblInd w:w="-1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10" w:type="dxa"/>
        </w:tblCellMar>
        <w:tblLook w:val="04A0" w:firstRow="1" w:lastRow="0" w:firstColumn="1" w:lastColumn="0" w:noHBand="0" w:noVBand="1"/>
      </w:tblPr>
      <w:tblGrid>
        <w:gridCol w:w="3493"/>
        <w:gridCol w:w="3402"/>
        <w:gridCol w:w="1418"/>
        <w:gridCol w:w="1255"/>
      </w:tblGrid>
      <w:tr w:rsidR="00762C45">
        <w:trPr>
          <w:trHeight w:val="623"/>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b/>
                <w:bCs/>
                <w:sz w:val="20"/>
                <w:szCs w:val="20"/>
              </w:rPr>
              <w:t xml:space="preserve">Nome </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b/>
                <w:bCs/>
                <w:sz w:val="20"/>
                <w:szCs w:val="20"/>
              </w:rPr>
              <w:t>Cargo</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b/>
                <w:bCs/>
                <w:sz w:val="20"/>
                <w:szCs w:val="20"/>
              </w:rPr>
              <w:t>Titulação</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b/>
                <w:bCs/>
                <w:sz w:val="20"/>
                <w:szCs w:val="20"/>
              </w:rPr>
              <w:t>Regime de Trabalho</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 xml:space="preserve">Alex dos Reis Alves </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Técnico em Tecnologia da Informação</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Técnico</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Andréia Conceição Alves dos Santos</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Administrador</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Especialista</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ind w:left="57" w:right="57"/>
              <w:rPr>
                <w:color w:val="FF3333"/>
                <w:sz w:val="20"/>
                <w:szCs w:val="20"/>
              </w:rPr>
            </w:pPr>
            <w:r>
              <w:rPr>
                <w:sz w:val="20"/>
                <w:szCs w:val="20"/>
              </w:rPr>
              <w:t>Claudete Bezerra Ferreira</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Assistente de Aluno</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Bacharel</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color w:val="FF3333"/>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ind w:left="57" w:right="57"/>
              <w:rPr>
                <w:sz w:val="20"/>
                <w:szCs w:val="20"/>
              </w:rPr>
            </w:pPr>
            <w:r>
              <w:rPr>
                <w:sz w:val="20"/>
                <w:szCs w:val="20"/>
              </w:rPr>
              <w:t>Demetrius Simonassi Resende</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Coordenador de TI</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Especialista</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color w:val="FF3333"/>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Kleise Oeiras de Almeida</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Bibliotecária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Mestranda</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rFonts w:eastAsia="Times New Roman"/>
                <w:sz w:val="20"/>
                <w:szCs w:val="20"/>
              </w:rPr>
            </w:pPr>
            <w:r>
              <w:rPr>
                <w:rFonts w:eastAsia="Times New Roman"/>
                <w:sz w:val="20"/>
                <w:szCs w:val="20"/>
              </w:rPr>
              <w:t>Leda Gabriela Ardiles</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pStyle w:val="PargrafodaLista"/>
              <w:tabs>
                <w:tab w:val="left" w:pos="284"/>
              </w:tabs>
              <w:spacing w:line="240" w:lineRule="auto"/>
              <w:ind w:left="57" w:right="57" w:firstLine="0"/>
              <w:rPr>
                <w:rFonts w:ascii="Times New Roman" w:hAnsi="Times New Roman" w:cs="Times New Roman"/>
                <w:color w:val="00000A"/>
                <w:sz w:val="20"/>
                <w:szCs w:val="20"/>
              </w:rPr>
            </w:pPr>
            <w:r>
              <w:rPr>
                <w:rFonts w:ascii="Times New Roman" w:hAnsi="Times New Roman" w:cs="Times New Roman"/>
                <w:color w:val="00000A"/>
                <w:sz w:val="20"/>
                <w:szCs w:val="20"/>
              </w:rPr>
              <w:t>Assistente de Laboratório</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Mestra</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Maraísa Andrade de Castro</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Tecnóloga em Eventos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Mestra</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Maria Cristiane Souza Rodrigues</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Pedagoga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Especialista</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Maria de Nazaré Fonseca de Sena Pereira</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Técnica em Assuntos Educacionais</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Mestra</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lastRenderedPageBreak/>
              <w:t>Paulo Henrique dos Santos Pereira</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Assistente em Administração</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Técnico</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rFonts w:eastAsia="Times New Roman"/>
                <w:sz w:val="20"/>
                <w:szCs w:val="20"/>
              </w:rPr>
            </w:pPr>
            <w:r>
              <w:rPr>
                <w:rFonts w:eastAsia="Times New Roman"/>
                <w:sz w:val="20"/>
                <w:szCs w:val="20"/>
              </w:rPr>
              <w:t>Sabrina Bianca da Silva Alves</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Auxiliar em Administração</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Bacharel</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r w:rsidR="00762C45">
        <w:trPr>
          <w:trHeight w:val="298"/>
        </w:trPr>
        <w:tc>
          <w:tcPr>
            <w:tcW w:w="349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rFonts w:eastAsia="Times New Roman"/>
                <w:sz w:val="20"/>
                <w:szCs w:val="20"/>
              </w:rPr>
            </w:pPr>
            <w:r>
              <w:rPr>
                <w:rFonts w:eastAsia="Times New Roman"/>
                <w:sz w:val="20"/>
                <w:szCs w:val="20"/>
              </w:rPr>
              <w:t>Vânia Castelo Costa Dornelles</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ind w:left="57" w:right="57"/>
              <w:jc w:val="both"/>
              <w:rPr>
                <w:sz w:val="20"/>
                <w:szCs w:val="20"/>
              </w:rPr>
            </w:pPr>
            <w:r>
              <w:rPr>
                <w:sz w:val="20"/>
                <w:szCs w:val="20"/>
              </w:rPr>
              <w:t>Assistente de aluno</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pPr>
            <w:r>
              <w:rPr>
                <w:sz w:val="20"/>
                <w:szCs w:val="20"/>
              </w:rPr>
              <w:t>Bacharel</w:t>
            </w:r>
          </w:p>
        </w:tc>
        <w:tc>
          <w:tcPr>
            <w:tcW w:w="1255"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rsidR="00762C45" w:rsidRDefault="00303B66">
            <w:pPr>
              <w:spacing w:line="276" w:lineRule="auto"/>
              <w:jc w:val="center"/>
              <w:rPr>
                <w:sz w:val="20"/>
                <w:szCs w:val="20"/>
              </w:rPr>
            </w:pPr>
            <w:r>
              <w:rPr>
                <w:sz w:val="20"/>
                <w:szCs w:val="20"/>
              </w:rPr>
              <w:t>40 horas</w:t>
            </w:r>
          </w:p>
        </w:tc>
      </w:tr>
    </w:tbl>
    <w:p w:rsidR="00762C45" w:rsidRDefault="00762C45">
      <w:pPr>
        <w:tabs>
          <w:tab w:val="left" w:pos="786"/>
        </w:tabs>
        <w:spacing w:line="276" w:lineRule="auto"/>
        <w:ind w:left="360"/>
        <w:jc w:val="both"/>
        <w:rPr>
          <w:sz w:val="20"/>
          <w:szCs w:val="20"/>
        </w:rPr>
      </w:pPr>
    </w:p>
    <w:p w:rsidR="00762C45" w:rsidRDefault="00303B66">
      <w:pPr>
        <w:ind w:firstLine="567"/>
        <w:jc w:val="both"/>
      </w:pPr>
      <w:r>
        <w:rPr>
          <w:color w:val="000000"/>
          <w:sz w:val="22"/>
          <w:szCs w:val="22"/>
        </w:rPr>
        <w:t>A expansão do quadro de servidores técnicos administrativos dar-se-á através de Concurso Público ou remoção interna em diversas áreas administrativas.</w:t>
      </w:r>
    </w:p>
    <w:p w:rsidR="00762C45" w:rsidRDefault="00303B66">
      <w:pPr>
        <w:tabs>
          <w:tab w:val="left" w:pos="786"/>
        </w:tabs>
        <w:ind w:firstLine="567"/>
        <w:jc w:val="both"/>
        <w:rPr>
          <w:sz w:val="22"/>
          <w:szCs w:val="22"/>
        </w:rPr>
      </w:pPr>
      <w:r>
        <w:rPr>
          <w:sz w:val="22"/>
          <w:szCs w:val="22"/>
        </w:rPr>
        <w:t xml:space="preserve">O </w:t>
      </w:r>
      <w:r>
        <w:rPr>
          <w:i/>
          <w:sz w:val="22"/>
          <w:szCs w:val="22"/>
        </w:rPr>
        <w:t>Campus</w:t>
      </w:r>
      <w:r>
        <w:rPr>
          <w:sz w:val="22"/>
          <w:szCs w:val="22"/>
        </w:rPr>
        <w:t xml:space="preserve"> Avançado Vigia ainda não possui serviços de tradutor e interprete da Língua Brasileira de Sinais (LIBRAS).</w:t>
      </w:r>
    </w:p>
    <w:p w:rsidR="00762C45" w:rsidRDefault="00762C45">
      <w:pPr>
        <w:jc w:val="both"/>
        <w:rPr>
          <w:b/>
          <w:bCs/>
          <w:sz w:val="22"/>
          <w:szCs w:val="22"/>
        </w:rPr>
      </w:pPr>
    </w:p>
    <w:p w:rsidR="00762C45" w:rsidRDefault="00303B66">
      <w:pPr>
        <w:pStyle w:val="Estilo20"/>
      </w:pPr>
      <w:bookmarkStart w:id="86" w:name="_Toc474391217"/>
      <w:bookmarkEnd w:id="86"/>
      <w:r>
        <w:t>4.7 Política de Manutenção e Guarda do Acervo Acadêmico (Portaria 1224/2013-MEC)</w:t>
      </w:r>
    </w:p>
    <w:p w:rsidR="00762C45" w:rsidRDefault="00762C45">
      <w:pPr>
        <w:ind w:hanging="495"/>
        <w:jc w:val="both"/>
        <w:rPr>
          <w:b/>
          <w:bCs/>
        </w:rPr>
      </w:pPr>
    </w:p>
    <w:p w:rsidR="00762C45" w:rsidRDefault="00303B66">
      <w:pPr>
        <w:widowControl/>
        <w:suppressAutoHyphens w:val="0"/>
        <w:ind w:firstLine="567"/>
        <w:jc w:val="both"/>
        <w:rPr>
          <w:rFonts w:eastAsia="Times New Roman"/>
          <w:sz w:val="22"/>
          <w:szCs w:val="22"/>
        </w:rPr>
      </w:pPr>
      <w:r>
        <w:rPr>
          <w:bCs/>
          <w:sz w:val="22"/>
          <w:szCs w:val="22"/>
        </w:rPr>
        <w:t xml:space="preserve">A Portaria </w:t>
      </w:r>
      <w:r>
        <w:rPr>
          <w:rFonts w:eastAsia="Times New Roman"/>
          <w:sz w:val="22"/>
          <w:szCs w:val="22"/>
        </w:rPr>
        <w:t>Nº 1.224, de 18 de dezembro de 2013 institui normas sobre a manutenção e guarda do Acervo Acadêmico das Instituições de Educação Superior (IES) pertencentes ao sistema federal de ensino. O Campus Avançado Vigia está ainda em fase de estruturação tanto nos aspectos de infraestrutura como de recursos humanos, razões pelas quais não se encontra em condições de implementar as normativas constantes nessa portaria, mas envidará todos os esforços para que, dentro das suas limitações, possa atender ao preconizado nesse documento normalizador</w:t>
      </w:r>
    </w:p>
    <w:p w:rsidR="00762C45" w:rsidRDefault="00762C45">
      <w:pPr>
        <w:ind w:firstLine="567"/>
        <w:jc w:val="both"/>
        <w:rPr>
          <w:b/>
          <w:bCs/>
        </w:rPr>
      </w:pPr>
    </w:p>
    <w:p w:rsidR="00762C45" w:rsidRDefault="00303B66">
      <w:pPr>
        <w:pStyle w:val="Estilo3"/>
      </w:pPr>
      <w:bookmarkStart w:id="87" w:name="_Toc474391218"/>
      <w:r>
        <w:rPr>
          <w:bCs/>
        </w:rPr>
        <w:t>5. INFRAESTRUTURA FÍSICA</w:t>
      </w:r>
      <w:bookmarkEnd w:id="87"/>
      <w:r>
        <w:t xml:space="preserve"> </w:t>
      </w:r>
    </w:p>
    <w:p w:rsidR="00762C45" w:rsidRDefault="00762C45">
      <w:pPr>
        <w:ind w:hanging="495"/>
        <w:jc w:val="both"/>
        <w:rPr>
          <w:b/>
          <w:bCs/>
          <w:sz w:val="20"/>
          <w:szCs w:val="20"/>
        </w:rPr>
      </w:pPr>
    </w:p>
    <w:p w:rsidR="00762C45" w:rsidRDefault="00303B66">
      <w:pPr>
        <w:ind w:firstLine="567"/>
        <w:jc w:val="both"/>
        <w:rPr>
          <w:bCs/>
          <w:sz w:val="22"/>
          <w:szCs w:val="22"/>
        </w:rPr>
      </w:pPr>
      <w:r>
        <w:rPr>
          <w:bCs/>
          <w:sz w:val="22"/>
          <w:szCs w:val="22"/>
        </w:rPr>
        <w:t xml:space="preserve">O </w:t>
      </w:r>
      <w:r>
        <w:rPr>
          <w:bCs/>
          <w:i/>
          <w:sz w:val="22"/>
          <w:szCs w:val="22"/>
        </w:rPr>
        <w:t xml:space="preserve">Campus </w:t>
      </w:r>
      <w:r>
        <w:rPr>
          <w:bCs/>
          <w:sz w:val="22"/>
          <w:szCs w:val="22"/>
        </w:rPr>
        <w:t xml:space="preserve">Avançado Vigia passou a funcionar, a partir de setembro/2016, em sua sede própria, que dispõe de uma infraestrutura bem superior as que vinha utilizando num espaço cedido pela Prefeitura de Vigia. Essa nova infraestrutura inclui um Bloco Pedagógico, pórtico e muro que circunda toda a área de aproximadamente 10.000 m², permitindo melhores condições de trabalho ao seus servidores e acomodações mais adequadas como salas de aula e laboratórios de Informática para a ministração das aulas. Ao todo foram entregues 14 (quatorze) salas de aula com capacidade, cada uma, para 50 (cinquenta) alunos. </w:t>
      </w:r>
    </w:p>
    <w:p w:rsidR="00762C45" w:rsidRDefault="00303B66">
      <w:pPr>
        <w:ind w:firstLine="567"/>
        <w:jc w:val="both"/>
        <w:rPr>
          <w:bCs/>
          <w:sz w:val="22"/>
          <w:szCs w:val="22"/>
        </w:rPr>
      </w:pPr>
      <w:r>
        <w:rPr>
          <w:bCs/>
          <w:sz w:val="22"/>
          <w:szCs w:val="22"/>
        </w:rPr>
        <w:t xml:space="preserve">Porém, como o espaço para a gestão administrativa e acadêmica não foi contemplado nessa etapa de construção, optou-se por adaptar 8 (oito) salas de aulas para comportar essa gestão além de outras atividades, incluindo a Direção Geral, Diretoria de Ensino, Coordenações de cursos, Professores, Secretaria Acadêmica, Biblioteca, Auditório e Laboratórios de Informática. Mesmo com essa adaptação, as aulas não serão prejudicadas, pois o </w:t>
      </w:r>
      <w:r>
        <w:rPr>
          <w:bCs/>
          <w:i/>
          <w:sz w:val="22"/>
          <w:szCs w:val="22"/>
        </w:rPr>
        <w:t>campus</w:t>
      </w:r>
      <w:r>
        <w:rPr>
          <w:bCs/>
          <w:sz w:val="22"/>
          <w:szCs w:val="22"/>
        </w:rPr>
        <w:t xml:space="preserve"> funcionará inicialmente nos turnos matutino e vespertino e posteriormente no noturno, caso necessário, podendo receber até 600 (seiscentos) alunos no total.</w:t>
      </w:r>
    </w:p>
    <w:p w:rsidR="00762C45" w:rsidRDefault="00303B66">
      <w:pPr>
        <w:ind w:firstLine="567"/>
        <w:jc w:val="both"/>
        <w:rPr>
          <w:bCs/>
          <w:sz w:val="22"/>
          <w:szCs w:val="22"/>
        </w:rPr>
      </w:pPr>
      <w:r>
        <w:rPr>
          <w:bCs/>
          <w:sz w:val="22"/>
          <w:szCs w:val="22"/>
        </w:rPr>
        <w:t xml:space="preserve">Como o </w:t>
      </w:r>
      <w:r>
        <w:rPr>
          <w:bCs/>
          <w:i/>
          <w:sz w:val="22"/>
          <w:szCs w:val="22"/>
        </w:rPr>
        <w:t>Campus</w:t>
      </w:r>
      <w:r>
        <w:rPr>
          <w:bCs/>
          <w:sz w:val="22"/>
          <w:szCs w:val="22"/>
        </w:rPr>
        <w:t xml:space="preserve"> Avançado Vigia faz parte da 4ª fase de expansão da Rede Federal de Educação Profissional e Tecnológica, espera-se que nos próximos orçamentos serão contemplados recursos para a construção dos espaços hoje improvisados e, como isso, melhorar a sua infraestrutura. </w:t>
      </w:r>
    </w:p>
    <w:p w:rsidR="00762C45" w:rsidRDefault="00303B66">
      <w:pPr>
        <w:ind w:firstLine="567"/>
        <w:jc w:val="both"/>
        <w:rPr>
          <w:bCs/>
          <w:sz w:val="22"/>
          <w:szCs w:val="22"/>
        </w:rPr>
      </w:pPr>
      <w:r>
        <w:rPr>
          <w:bCs/>
          <w:sz w:val="22"/>
          <w:szCs w:val="22"/>
        </w:rPr>
        <w:t>Os Quadros 11, 12, 13, 14 e 15 apresentam a infraestrutura atual e projetada para o triênio 2016-2018 tanto no tocante as atividades fim com a gestão do CAV e outros espaços complementares que irão compor todo o seu complexo arquitetônico institucional.</w:t>
      </w:r>
    </w:p>
    <w:p w:rsidR="00762C45" w:rsidRDefault="00762C45">
      <w:pPr>
        <w:pStyle w:val="Legenda"/>
        <w:keepNext/>
        <w:spacing w:before="0" w:after="0" w:line="240" w:lineRule="auto"/>
        <w:ind w:left="0" w:firstLine="0"/>
        <w:jc w:val="center"/>
        <w:rPr>
          <w:rFonts w:ascii="Times New Roman" w:hAnsi="Times New Roman" w:cs="Times New Roman"/>
          <w:b/>
          <w:i w:val="0"/>
          <w:sz w:val="20"/>
          <w:szCs w:val="20"/>
        </w:rPr>
      </w:pPr>
    </w:p>
    <w:p w:rsidR="00762C45" w:rsidRDefault="00303B66">
      <w:pPr>
        <w:pStyle w:val="Legenda"/>
        <w:spacing w:before="0" w:after="0" w:line="240" w:lineRule="auto"/>
        <w:ind w:left="0" w:firstLine="0"/>
        <w:jc w:val="center"/>
      </w:pPr>
      <w:bookmarkStart w:id="88" w:name="_Toc474391119"/>
      <w:bookmarkStart w:id="89" w:name="_Toc472974289"/>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11</w:t>
      </w:r>
      <w:r>
        <w:fldChar w:fldCharType="end"/>
      </w:r>
      <w:bookmarkEnd w:id="88"/>
      <w:bookmarkEnd w:id="89"/>
      <w:r>
        <w:rPr>
          <w:rFonts w:ascii="Times New Roman" w:hAnsi="Times New Roman" w:cs="Times New Roman"/>
          <w:b/>
          <w:i w:val="0"/>
          <w:sz w:val="20"/>
          <w:szCs w:val="20"/>
        </w:rPr>
        <w:t>. Dimensões (m²) da infraestrutura existente e projetada do CAV para o triênio 2016-2018</w:t>
      </w:r>
    </w:p>
    <w:tbl>
      <w:tblPr>
        <w:tblW w:w="8839" w:type="dxa"/>
        <w:jc w:val="center"/>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4271"/>
        <w:gridCol w:w="1137"/>
        <w:gridCol w:w="1141"/>
        <w:gridCol w:w="1138"/>
        <w:gridCol w:w="1152"/>
      </w:tblGrid>
      <w:tr w:rsidR="00762C45">
        <w:trPr>
          <w:trHeight w:hRule="exact" w:val="340"/>
          <w:jc w:val="center"/>
        </w:trPr>
        <w:tc>
          <w:tcPr>
            <w:tcW w:w="4271"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textAlignment w:val="center"/>
              <w:rPr>
                <w:b/>
                <w:bCs/>
                <w:sz w:val="20"/>
                <w:szCs w:val="20"/>
              </w:rPr>
            </w:pPr>
            <w:r>
              <w:rPr>
                <w:b/>
                <w:bCs/>
                <w:sz w:val="20"/>
                <w:szCs w:val="20"/>
              </w:rPr>
              <w:t>Descrição da área</w:t>
            </w:r>
          </w:p>
        </w:tc>
        <w:tc>
          <w:tcPr>
            <w:tcW w:w="4568" w:type="dxa"/>
            <w:gridSpan w:val="4"/>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Dimensões (m²)</w:t>
            </w:r>
          </w:p>
        </w:tc>
      </w:tr>
      <w:tr w:rsidR="00762C45">
        <w:trPr>
          <w:trHeight w:hRule="exact" w:val="340"/>
          <w:jc w:val="center"/>
        </w:trPr>
        <w:tc>
          <w:tcPr>
            <w:tcW w:w="4271" w:type="dxa"/>
            <w:vMerge/>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762C45">
            <w:pPr>
              <w:spacing w:line="276" w:lineRule="auto"/>
              <w:jc w:val="center"/>
              <w:rPr>
                <w:sz w:val="20"/>
                <w:szCs w:val="20"/>
              </w:rPr>
            </w:pPr>
          </w:p>
        </w:tc>
        <w:tc>
          <w:tcPr>
            <w:tcW w:w="113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1141"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113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115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r>
      <w:tr w:rsidR="00762C45">
        <w:trPr>
          <w:trHeight w:hRule="exact" w:val="283"/>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Área total do terreno</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keepNext/>
              <w:spacing w:line="276" w:lineRule="auto"/>
              <w:jc w:val="center"/>
              <w:rPr>
                <w:sz w:val="20"/>
                <w:szCs w:val="20"/>
              </w:rPr>
            </w:pPr>
            <w:r>
              <w:rPr>
                <w:color w:val="000000"/>
                <w:sz w:val="20"/>
                <w:szCs w:val="20"/>
              </w:rPr>
              <w:t>9.885,15</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9.885,15</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20.000,00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20.000,00</w:t>
            </w:r>
          </w:p>
        </w:tc>
      </w:tr>
      <w:tr w:rsidR="00762C45">
        <w:trPr>
          <w:trHeight w:hRule="exact" w:val="283"/>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Área Construída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keepNext/>
              <w:spacing w:line="276" w:lineRule="auto"/>
              <w:jc w:val="center"/>
              <w:rPr>
                <w:sz w:val="20"/>
                <w:szCs w:val="20"/>
              </w:rPr>
            </w:pPr>
            <w:r>
              <w:rPr>
                <w:color w:val="000000"/>
                <w:sz w:val="20"/>
                <w:szCs w:val="20"/>
              </w:rPr>
              <w:t>2.359,40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2.359,40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5.000,00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10.000,00</w:t>
            </w:r>
          </w:p>
        </w:tc>
      </w:tr>
      <w:tr w:rsidR="00762C45">
        <w:trPr>
          <w:trHeight w:hRule="exact" w:val="283"/>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Área Administrativa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keepNext/>
              <w:spacing w:line="276" w:lineRule="auto"/>
              <w:jc w:val="center"/>
              <w:rPr>
                <w:sz w:val="20"/>
                <w:szCs w:val="20"/>
              </w:rPr>
            </w:pPr>
            <w:r>
              <w:rPr>
                <w:color w:val="000000"/>
                <w:sz w:val="20"/>
                <w:szCs w:val="20"/>
              </w:rPr>
              <w:t>0,00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0,00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600,00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1.000,00</w:t>
            </w:r>
          </w:p>
        </w:tc>
      </w:tr>
      <w:tr w:rsidR="00762C45">
        <w:trPr>
          <w:trHeight w:hRule="exact" w:val="283"/>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Área Pedagógica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keepNext/>
              <w:spacing w:line="276" w:lineRule="auto"/>
              <w:jc w:val="center"/>
              <w:rPr>
                <w:sz w:val="20"/>
                <w:szCs w:val="20"/>
              </w:rPr>
            </w:pPr>
            <w:r>
              <w:rPr>
                <w:color w:val="000000"/>
                <w:sz w:val="20"/>
                <w:szCs w:val="20"/>
              </w:rPr>
              <w:t>604,50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604,50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1,000,00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1.300,00</w:t>
            </w:r>
          </w:p>
        </w:tc>
      </w:tr>
      <w:tr w:rsidR="00762C45">
        <w:trPr>
          <w:trHeight w:hRule="exact" w:val="283"/>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Área para atividades físicas e esportivas</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keepNext/>
              <w:spacing w:line="276" w:lineRule="auto"/>
              <w:jc w:val="center"/>
              <w:rPr>
                <w:sz w:val="20"/>
                <w:szCs w:val="20"/>
              </w:rPr>
            </w:pPr>
            <w:r>
              <w:rPr>
                <w:color w:val="000000"/>
                <w:sz w:val="20"/>
                <w:szCs w:val="20"/>
              </w:rPr>
              <w:t>0,00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762C45">
            <w:pPr>
              <w:spacing w:line="276" w:lineRule="auto"/>
              <w:jc w:val="center"/>
              <w:rPr>
                <w:color w:val="000000"/>
                <w:sz w:val="20"/>
                <w:szCs w:val="20"/>
              </w:rPr>
            </w:pP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1.400,00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jc w:val="center"/>
              <w:rPr>
                <w:color w:val="000000"/>
                <w:sz w:val="20"/>
                <w:szCs w:val="20"/>
              </w:rPr>
            </w:pPr>
            <w:r>
              <w:rPr>
                <w:color w:val="000000"/>
                <w:sz w:val="20"/>
                <w:szCs w:val="20"/>
              </w:rPr>
              <w:t>2.000,00</w:t>
            </w:r>
          </w:p>
        </w:tc>
      </w:tr>
    </w:tbl>
    <w:p w:rsidR="00762C45" w:rsidRDefault="00762C45">
      <w:pPr>
        <w:pStyle w:val="Legenda"/>
        <w:keepNext/>
        <w:spacing w:before="0" w:after="0" w:line="240" w:lineRule="auto"/>
        <w:ind w:left="0" w:firstLine="0"/>
        <w:jc w:val="center"/>
        <w:rPr>
          <w:rFonts w:ascii="Times New Roman" w:hAnsi="Times New Roman" w:cs="Times New Roman"/>
          <w:b/>
          <w:i w:val="0"/>
          <w:sz w:val="20"/>
          <w:szCs w:val="20"/>
        </w:rPr>
      </w:pPr>
    </w:p>
    <w:p w:rsidR="00762C45" w:rsidRDefault="00762C45">
      <w:pPr>
        <w:pStyle w:val="Legenda"/>
        <w:spacing w:before="0" w:after="0" w:line="240" w:lineRule="auto"/>
        <w:ind w:left="0" w:firstLine="0"/>
        <w:jc w:val="center"/>
        <w:rPr>
          <w:rFonts w:ascii="Times New Roman" w:hAnsi="Times New Roman" w:cs="Times New Roman"/>
          <w:b/>
          <w:i w:val="0"/>
          <w:sz w:val="20"/>
          <w:szCs w:val="20"/>
        </w:rPr>
      </w:pPr>
    </w:p>
    <w:p w:rsidR="00762C45" w:rsidRDefault="00762C45">
      <w:pPr>
        <w:pStyle w:val="Legenda"/>
        <w:spacing w:before="0" w:after="0" w:line="240" w:lineRule="auto"/>
        <w:ind w:left="0" w:firstLine="0"/>
        <w:jc w:val="center"/>
        <w:rPr>
          <w:rFonts w:ascii="Times New Roman" w:hAnsi="Times New Roman" w:cs="Times New Roman"/>
          <w:b/>
          <w:i w:val="0"/>
          <w:sz w:val="20"/>
          <w:szCs w:val="20"/>
        </w:rPr>
      </w:pPr>
    </w:p>
    <w:p w:rsidR="00762C45" w:rsidRDefault="00303B66">
      <w:pPr>
        <w:pStyle w:val="Legenda"/>
        <w:spacing w:before="0" w:after="0" w:line="240" w:lineRule="auto"/>
        <w:ind w:left="0" w:firstLine="0"/>
        <w:jc w:val="center"/>
      </w:pPr>
      <w:bookmarkStart w:id="90" w:name="_Toc474391120"/>
      <w:bookmarkStart w:id="91" w:name="_Toc472974290"/>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12</w:t>
      </w:r>
      <w:r>
        <w:fldChar w:fldCharType="end"/>
      </w:r>
      <w:bookmarkEnd w:id="90"/>
      <w:bookmarkEnd w:id="91"/>
      <w:r>
        <w:rPr>
          <w:rFonts w:ascii="Times New Roman" w:hAnsi="Times New Roman" w:cs="Times New Roman"/>
          <w:b/>
          <w:i w:val="0"/>
          <w:sz w:val="20"/>
          <w:szCs w:val="20"/>
        </w:rPr>
        <w:t>. Unidades administrativas do CAV, existentes e projetadas para o triênio 2016-2018</w:t>
      </w:r>
    </w:p>
    <w:tbl>
      <w:tblPr>
        <w:tblW w:w="8839" w:type="dxa"/>
        <w:jc w:val="center"/>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4271"/>
        <w:gridCol w:w="1137"/>
        <w:gridCol w:w="1141"/>
        <w:gridCol w:w="1138"/>
        <w:gridCol w:w="1152"/>
      </w:tblGrid>
      <w:tr w:rsidR="00762C45">
        <w:trPr>
          <w:trHeight w:val="405"/>
          <w:jc w:val="center"/>
        </w:trPr>
        <w:tc>
          <w:tcPr>
            <w:tcW w:w="4271"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pPr>
            <w:r>
              <w:rPr>
                <w:b/>
                <w:bCs/>
                <w:sz w:val="20"/>
                <w:szCs w:val="20"/>
              </w:rPr>
              <w:t>Descrição dos ambientes administrativos</w:t>
            </w:r>
          </w:p>
        </w:tc>
        <w:tc>
          <w:tcPr>
            <w:tcW w:w="4568" w:type="dxa"/>
            <w:gridSpan w:val="4"/>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Quantidade (und)</w:t>
            </w:r>
          </w:p>
        </w:tc>
      </w:tr>
      <w:tr w:rsidR="00762C45">
        <w:trPr>
          <w:trHeight w:val="412"/>
          <w:jc w:val="center"/>
        </w:trPr>
        <w:tc>
          <w:tcPr>
            <w:tcW w:w="4271" w:type="dxa"/>
            <w:vMerge/>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762C45">
            <w:pPr>
              <w:spacing w:line="276" w:lineRule="auto"/>
              <w:jc w:val="both"/>
              <w:rPr>
                <w:sz w:val="20"/>
                <w:szCs w:val="20"/>
              </w:rPr>
            </w:pPr>
          </w:p>
        </w:tc>
        <w:tc>
          <w:tcPr>
            <w:tcW w:w="113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1141"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113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115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Almoxarifado</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Salas administrativas</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10</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Auditório</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Sala de reunião</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Garagem</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Cantina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Espaço para convivência e alimentação</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Instalações sanitárias</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5</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10</w:t>
            </w:r>
          </w:p>
        </w:tc>
      </w:tr>
    </w:tbl>
    <w:p w:rsidR="00762C45" w:rsidRDefault="00762C45">
      <w:pPr>
        <w:spacing w:line="276" w:lineRule="auto"/>
        <w:jc w:val="both"/>
        <w:rPr>
          <w:sz w:val="20"/>
          <w:szCs w:val="20"/>
        </w:rPr>
      </w:pPr>
    </w:p>
    <w:p w:rsidR="00762C45" w:rsidRDefault="00303B66">
      <w:pPr>
        <w:pStyle w:val="Legenda"/>
        <w:keepNext/>
        <w:spacing w:before="0" w:after="0" w:line="240" w:lineRule="auto"/>
        <w:ind w:left="0" w:firstLine="0"/>
        <w:jc w:val="center"/>
      </w:pPr>
      <w:bookmarkStart w:id="92" w:name="_Toc474391121"/>
      <w:bookmarkStart w:id="93" w:name="_Toc472974291"/>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13</w:t>
      </w:r>
      <w:r>
        <w:fldChar w:fldCharType="end"/>
      </w:r>
      <w:bookmarkEnd w:id="92"/>
      <w:bookmarkEnd w:id="93"/>
      <w:r>
        <w:rPr>
          <w:rFonts w:ascii="Times New Roman" w:hAnsi="Times New Roman" w:cs="Times New Roman"/>
          <w:b/>
          <w:i w:val="0"/>
          <w:sz w:val="20"/>
          <w:szCs w:val="20"/>
        </w:rPr>
        <w:t>. Infraestrutura Pedagógica atual e projetada para o triênio 2016-2018</w:t>
      </w:r>
    </w:p>
    <w:tbl>
      <w:tblPr>
        <w:tblW w:w="8839" w:type="dxa"/>
        <w:jc w:val="center"/>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4271"/>
        <w:gridCol w:w="1137"/>
        <w:gridCol w:w="1141"/>
        <w:gridCol w:w="1138"/>
        <w:gridCol w:w="1152"/>
      </w:tblGrid>
      <w:tr w:rsidR="00762C45">
        <w:trPr>
          <w:trHeight w:val="405"/>
          <w:jc w:val="center"/>
        </w:trPr>
        <w:tc>
          <w:tcPr>
            <w:tcW w:w="4271"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pPr>
            <w:r>
              <w:rPr>
                <w:b/>
                <w:bCs/>
                <w:sz w:val="20"/>
                <w:szCs w:val="20"/>
              </w:rPr>
              <w:t>Descrição dos ambientes pedagógicos</w:t>
            </w:r>
          </w:p>
        </w:tc>
        <w:tc>
          <w:tcPr>
            <w:tcW w:w="4568" w:type="dxa"/>
            <w:gridSpan w:val="4"/>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Quantidade</w:t>
            </w:r>
          </w:p>
        </w:tc>
      </w:tr>
      <w:tr w:rsidR="00762C45">
        <w:trPr>
          <w:trHeight w:val="266"/>
          <w:jc w:val="center"/>
        </w:trPr>
        <w:tc>
          <w:tcPr>
            <w:tcW w:w="4271" w:type="dxa"/>
            <w:vMerge/>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762C45">
            <w:pPr>
              <w:spacing w:line="276" w:lineRule="auto"/>
              <w:jc w:val="both"/>
              <w:rPr>
                <w:sz w:val="20"/>
                <w:szCs w:val="20"/>
              </w:rPr>
            </w:pPr>
          </w:p>
        </w:tc>
        <w:tc>
          <w:tcPr>
            <w:tcW w:w="113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1141"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113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115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Salas de aula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14</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14</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20</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Salas de professores</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10</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Espaço para atendimento aos alunos</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Espaço para a CPA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Gabinete/Estação de trabalho para professor em tempo integral</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20</w:t>
            </w:r>
          </w:p>
        </w:tc>
      </w:tr>
    </w:tbl>
    <w:p w:rsidR="00762C45" w:rsidRDefault="00762C45">
      <w:pPr>
        <w:pStyle w:val="Legenda"/>
        <w:keepNext/>
        <w:spacing w:before="0" w:after="0" w:line="240" w:lineRule="auto"/>
        <w:ind w:left="0" w:firstLine="0"/>
        <w:jc w:val="center"/>
        <w:rPr>
          <w:rFonts w:ascii="Times New Roman" w:hAnsi="Times New Roman" w:cs="Times New Roman"/>
          <w:b/>
          <w:i w:val="0"/>
          <w:sz w:val="20"/>
          <w:szCs w:val="20"/>
        </w:rPr>
      </w:pPr>
    </w:p>
    <w:p w:rsidR="00762C45" w:rsidRDefault="00303B66">
      <w:pPr>
        <w:pStyle w:val="Legenda"/>
        <w:keepNext/>
        <w:spacing w:before="0" w:after="0" w:line="240" w:lineRule="auto"/>
        <w:ind w:left="0" w:firstLine="0"/>
        <w:jc w:val="center"/>
      </w:pPr>
      <w:bookmarkStart w:id="94" w:name="_Toc474391122"/>
      <w:bookmarkStart w:id="95" w:name="_Toc472974292"/>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14</w:t>
      </w:r>
      <w:r>
        <w:fldChar w:fldCharType="end"/>
      </w:r>
      <w:bookmarkEnd w:id="94"/>
      <w:bookmarkEnd w:id="95"/>
      <w:r>
        <w:rPr>
          <w:rFonts w:ascii="Times New Roman" w:hAnsi="Times New Roman" w:cs="Times New Roman"/>
          <w:b/>
          <w:i w:val="0"/>
          <w:sz w:val="20"/>
          <w:szCs w:val="20"/>
        </w:rPr>
        <w:t>. Infraestrutura para atividades físicas e desportivas para o triênio 2016-2018</w:t>
      </w:r>
    </w:p>
    <w:tbl>
      <w:tblPr>
        <w:tblW w:w="8416" w:type="dxa"/>
        <w:jc w:val="center"/>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3852"/>
        <w:gridCol w:w="1137"/>
        <w:gridCol w:w="1142"/>
        <w:gridCol w:w="1137"/>
        <w:gridCol w:w="1148"/>
      </w:tblGrid>
      <w:tr w:rsidR="00762C45">
        <w:trPr>
          <w:trHeight w:val="405"/>
          <w:jc w:val="center"/>
        </w:trPr>
        <w:tc>
          <w:tcPr>
            <w:tcW w:w="3852"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Descrição dos ambientes para atividades físicas e esportivas</w:t>
            </w:r>
          </w:p>
        </w:tc>
        <w:tc>
          <w:tcPr>
            <w:tcW w:w="4564" w:type="dxa"/>
            <w:gridSpan w:val="4"/>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Quantidade</w:t>
            </w:r>
          </w:p>
        </w:tc>
      </w:tr>
      <w:tr w:rsidR="00762C45">
        <w:trPr>
          <w:trHeight w:val="266"/>
          <w:jc w:val="center"/>
        </w:trPr>
        <w:tc>
          <w:tcPr>
            <w:tcW w:w="3852" w:type="dxa"/>
            <w:vMerge/>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762C45">
            <w:pPr>
              <w:spacing w:line="276" w:lineRule="auto"/>
              <w:jc w:val="both"/>
              <w:rPr>
                <w:sz w:val="20"/>
                <w:szCs w:val="20"/>
              </w:rPr>
            </w:pPr>
          </w:p>
        </w:tc>
        <w:tc>
          <w:tcPr>
            <w:tcW w:w="113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114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113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114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r>
      <w:tr w:rsidR="00762C45">
        <w:trPr>
          <w:trHeight w:val="1"/>
          <w:jc w:val="center"/>
        </w:trPr>
        <w:tc>
          <w:tcPr>
            <w:tcW w:w="38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Quadra Descoberta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r w:rsidR="00762C45">
        <w:trPr>
          <w:trHeight w:val="1"/>
          <w:jc w:val="center"/>
        </w:trPr>
        <w:tc>
          <w:tcPr>
            <w:tcW w:w="38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Quadra coberta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r w:rsidR="00762C45">
        <w:trPr>
          <w:trHeight w:val="1"/>
          <w:jc w:val="center"/>
        </w:trPr>
        <w:tc>
          <w:tcPr>
            <w:tcW w:w="38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Piscina</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r w:rsidR="00762C45">
        <w:trPr>
          <w:trHeight w:val="1"/>
          <w:jc w:val="center"/>
        </w:trPr>
        <w:tc>
          <w:tcPr>
            <w:tcW w:w="38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Ginásio Poliesportivo</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r w:rsidR="00762C45">
        <w:trPr>
          <w:trHeight w:val="1"/>
          <w:jc w:val="center"/>
        </w:trPr>
        <w:tc>
          <w:tcPr>
            <w:tcW w:w="38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Pátio Coberto</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r w:rsidR="00762C45">
        <w:trPr>
          <w:trHeight w:val="1"/>
          <w:jc w:val="center"/>
        </w:trPr>
        <w:tc>
          <w:tcPr>
            <w:tcW w:w="38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Campo de Futebol</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bl>
    <w:p w:rsidR="00762C45" w:rsidRDefault="00762C45">
      <w:pPr>
        <w:spacing w:line="276" w:lineRule="auto"/>
        <w:ind w:left="567"/>
        <w:jc w:val="both"/>
        <w:rPr>
          <w:sz w:val="20"/>
          <w:szCs w:val="20"/>
        </w:rPr>
      </w:pPr>
    </w:p>
    <w:p w:rsidR="00762C45" w:rsidRDefault="00303B66">
      <w:pPr>
        <w:pStyle w:val="Legenda"/>
        <w:keepNext/>
        <w:spacing w:before="0" w:after="0" w:line="240" w:lineRule="auto"/>
        <w:ind w:left="0" w:firstLine="0"/>
        <w:jc w:val="center"/>
      </w:pPr>
      <w:bookmarkStart w:id="96" w:name="_Toc474391123"/>
      <w:bookmarkStart w:id="97" w:name="_Toc472974293"/>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15</w:t>
      </w:r>
      <w:r>
        <w:fldChar w:fldCharType="end"/>
      </w:r>
      <w:bookmarkEnd w:id="96"/>
      <w:bookmarkEnd w:id="97"/>
      <w:r>
        <w:rPr>
          <w:rFonts w:ascii="Times New Roman" w:hAnsi="Times New Roman" w:cs="Times New Roman"/>
          <w:b/>
          <w:i w:val="0"/>
          <w:sz w:val="20"/>
          <w:szCs w:val="20"/>
        </w:rPr>
        <w:t>. Infraestrutura atual e projetada de informática, climatização e segurança para o triênio 2016-2018</w:t>
      </w:r>
    </w:p>
    <w:tbl>
      <w:tblPr>
        <w:tblW w:w="8700" w:type="dxa"/>
        <w:jc w:val="center"/>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4135"/>
        <w:gridCol w:w="1138"/>
        <w:gridCol w:w="1141"/>
        <w:gridCol w:w="1138"/>
        <w:gridCol w:w="1148"/>
      </w:tblGrid>
      <w:tr w:rsidR="00762C45">
        <w:trPr>
          <w:trHeight w:val="237"/>
          <w:jc w:val="center"/>
        </w:trPr>
        <w:tc>
          <w:tcPr>
            <w:tcW w:w="4135"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pPr>
            <w:r>
              <w:rPr>
                <w:b/>
                <w:bCs/>
                <w:sz w:val="20"/>
                <w:szCs w:val="20"/>
              </w:rPr>
              <w:t>Descrição</w:t>
            </w:r>
          </w:p>
        </w:tc>
        <w:tc>
          <w:tcPr>
            <w:tcW w:w="4565" w:type="dxa"/>
            <w:gridSpan w:val="4"/>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 xml:space="preserve">Quantidade </w:t>
            </w:r>
          </w:p>
        </w:tc>
      </w:tr>
      <w:tr w:rsidR="00762C45">
        <w:trPr>
          <w:trHeight w:val="323"/>
          <w:jc w:val="center"/>
        </w:trPr>
        <w:tc>
          <w:tcPr>
            <w:tcW w:w="4135" w:type="dxa"/>
            <w:vMerge/>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762C45">
            <w:pPr>
              <w:spacing w:line="276" w:lineRule="auto"/>
              <w:jc w:val="both"/>
              <w:rPr>
                <w:sz w:val="20"/>
                <w:szCs w:val="20"/>
              </w:rPr>
            </w:pPr>
          </w:p>
        </w:tc>
        <w:tc>
          <w:tcPr>
            <w:tcW w:w="113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1141"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113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114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Microcomputador</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31</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31</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70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90</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Projetor multimídia</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4</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4</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6</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10</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Notebook / Ultrabook / Netbook</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4</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8</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Impressora</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4</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6</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Scanner</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0</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Quadro interativo</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4</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6</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Roteador</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9</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11</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Nobreak</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58</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58</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70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90</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Servidor de rede</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2</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Equipamento de videoconferência</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Condicionadores de ar tipo SPLIT</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18</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18</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18</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25</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Condicionadores de ar tipo Janela</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0</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Câmeras de segurança</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12</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16</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Sistema anti furto</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Televisores</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4</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Aparelho de DVD</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0</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Aparelho de DVR</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0</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lastRenderedPageBreak/>
              <w:t>Equipamento de áudio</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Central Telefônica</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1</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1</w:t>
            </w:r>
          </w:p>
        </w:tc>
      </w:tr>
      <w:tr w:rsidR="00762C45">
        <w:trPr>
          <w:trHeight w:val="1"/>
          <w:jc w:val="center"/>
        </w:trPr>
        <w:tc>
          <w:tcPr>
            <w:tcW w:w="413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Filmadora/Máquina Fotográfica</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114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color w:val="000000"/>
                <w:sz w:val="20"/>
                <w:szCs w:val="20"/>
              </w:rPr>
              <w:t>2</w:t>
            </w:r>
          </w:p>
        </w:tc>
      </w:tr>
    </w:tbl>
    <w:p w:rsidR="00762C45" w:rsidRDefault="00303B66">
      <w:pPr>
        <w:pStyle w:val="Estilo20"/>
      </w:pPr>
      <w:bookmarkStart w:id="98" w:name="_Toc474391219"/>
      <w:r>
        <w:t>5.1. Biblioteca</w:t>
      </w:r>
      <w:bookmarkEnd w:id="98"/>
      <w:r>
        <w:t xml:space="preserve"> </w:t>
      </w:r>
    </w:p>
    <w:p w:rsidR="00762C45" w:rsidRDefault="00762C45">
      <w:pPr>
        <w:ind w:firstLine="567"/>
      </w:pPr>
    </w:p>
    <w:p w:rsidR="00762C45" w:rsidRDefault="00303B66">
      <w:pPr>
        <w:ind w:firstLine="567"/>
        <w:jc w:val="both"/>
        <w:rPr>
          <w:sz w:val="22"/>
          <w:szCs w:val="22"/>
        </w:rPr>
      </w:pPr>
      <w:r>
        <w:rPr>
          <w:sz w:val="22"/>
          <w:szCs w:val="22"/>
        </w:rPr>
        <w:t>Em 24 de maio de 2010 foi sancionada pelo Presidente da República a Lei nº 12.244 denominada Lei da Biblioteca Escolar que no seu Art. 1º estabelece que as instituições de ensino públicas e privadas de todos os sistemas de ensino do País, contarão com bibliotecas nos termos desta lei.</w:t>
      </w:r>
    </w:p>
    <w:p w:rsidR="00762C45" w:rsidRDefault="00303B66">
      <w:pPr>
        <w:ind w:firstLine="567"/>
        <w:jc w:val="both"/>
        <w:rPr>
          <w:sz w:val="22"/>
          <w:szCs w:val="22"/>
        </w:rPr>
      </w:pPr>
      <w:r>
        <w:rPr>
          <w:sz w:val="22"/>
          <w:szCs w:val="22"/>
        </w:rPr>
        <w:t>Esta lei considera biblioteca escolar a coleção de livros, materiais videográficos e documentos registrados em qualquer suporte destinados a consulta, pesquisa, estudo ou leitura. Determina ainda ser obrigatório um acervo de livros na biblioteca de, no mínimo, um título para cada aluno matriculado, cabendo ao respectivo sistema de ensino determinar a ampliação deste acervo conforme sua realidade, bem como divulgar orientações de guarda, preservação e funcionamento das bibliotecas escolares.</w:t>
      </w:r>
    </w:p>
    <w:p w:rsidR="00762C45" w:rsidRDefault="00303B66">
      <w:pPr>
        <w:ind w:firstLine="567"/>
        <w:jc w:val="both"/>
        <w:rPr>
          <w:sz w:val="22"/>
          <w:szCs w:val="22"/>
        </w:rPr>
      </w:pPr>
      <w:r>
        <w:rPr>
          <w:sz w:val="22"/>
          <w:szCs w:val="22"/>
        </w:rPr>
        <w:t xml:space="preserve">É com base nessas determinações legais que o </w:t>
      </w:r>
      <w:r>
        <w:rPr>
          <w:i/>
          <w:sz w:val="22"/>
          <w:szCs w:val="22"/>
        </w:rPr>
        <w:t>Campus</w:t>
      </w:r>
      <w:r>
        <w:rPr>
          <w:sz w:val="22"/>
          <w:szCs w:val="22"/>
        </w:rPr>
        <w:t xml:space="preserve"> Avançado Vigia pretende estruturar a sua Biblioteca Escolar dotando-a de infraestrutura e recursos humanos adequados para oferecer aos seus alunos e professores um ambiente capaz de atender as necessidades das suas atividades de ensino, pesquisa e extensão.</w:t>
      </w:r>
    </w:p>
    <w:p w:rsidR="00762C45" w:rsidRDefault="00762C45">
      <w:pPr>
        <w:ind w:firstLine="567"/>
        <w:jc w:val="both"/>
        <w:rPr>
          <w:sz w:val="22"/>
          <w:szCs w:val="22"/>
        </w:rPr>
      </w:pPr>
    </w:p>
    <w:p w:rsidR="00762C45" w:rsidRDefault="00303B66">
      <w:pPr>
        <w:pStyle w:val="Estilo3"/>
      </w:pPr>
      <w:bookmarkStart w:id="99" w:name="_Toc474391220"/>
      <w:bookmarkEnd w:id="99"/>
      <w:r>
        <w:t>5.1.1 Infraestrutura Física da Biblioteca</w:t>
      </w:r>
    </w:p>
    <w:p w:rsidR="00762C45" w:rsidRDefault="00762C45">
      <w:pPr>
        <w:pStyle w:val="Ttulo1"/>
        <w:jc w:val="both"/>
        <w:rPr>
          <w:sz w:val="20"/>
          <w:szCs w:val="20"/>
        </w:rPr>
      </w:pPr>
    </w:p>
    <w:p w:rsidR="00762C45" w:rsidRDefault="00303B66">
      <w:pPr>
        <w:ind w:firstLine="567"/>
        <w:jc w:val="both"/>
        <w:rPr>
          <w:bCs/>
          <w:sz w:val="22"/>
          <w:szCs w:val="22"/>
        </w:rPr>
      </w:pPr>
      <w:r>
        <w:rPr>
          <w:bCs/>
          <w:sz w:val="22"/>
          <w:szCs w:val="22"/>
        </w:rPr>
        <w:t>O CAV ainda não dispõe de um espaço físico para o funcionamento da sua biblioteca. Provisoriamente o seu acervo bibliográfico e os ambientes para estudos individuas e em grupos foram acomodados em uma sala de aula existente no pavimento superior do bloco pedagógico recém-inaugurado, minimamente adaptado para funcionar como Biblioteca Escolar, mas está longe de ser um verdadeiro espaço de estudos e de pesquisa bibliográfica. Por esse motivo é premente a necessidade de construção da biblioteca do CAV num espaço único projetado para atender a demanda já existente a partir da ministração de 3 (três) cursos técnicos subsequentes. Para isso, propõe-se que ainda em 2016 seja elaborado os projetos básico, arquitetônico e complementares e que em 2017 seja feita a licitação e iniciada a obra e ser concluída em 2018.</w:t>
      </w:r>
    </w:p>
    <w:p w:rsidR="00762C45" w:rsidRDefault="00303B66">
      <w:pPr>
        <w:ind w:firstLine="567"/>
        <w:jc w:val="both"/>
        <w:rPr>
          <w:bCs/>
          <w:sz w:val="22"/>
          <w:szCs w:val="22"/>
        </w:rPr>
      </w:pPr>
      <w:r>
        <w:rPr>
          <w:bCs/>
          <w:sz w:val="22"/>
          <w:szCs w:val="22"/>
        </w:rPr>
        <w:t xml:space="preserve">Considerando que a biblioteca seja projetada inicialmente para atender 100 (cem) usuários com um contingente de 5 (cinco) servidores e considerando que cada usuário ocupe um espaço de 2 m² e cada servidor de 15 m², incluindo os equipamentos e o acervo bibliográfico, a área inicial da biblioteca será de 275 m². </w:t>
      </w:r>
    </w:p>
    <w:p w:rsidR="00762C45" w:rsidRDefault="00303B66">
      <w:pPr>
        <w:ind w:firstLine="567"/>
        <w:jc w:val="both"/>
        <w:rPr>
          <w:bCs/>
          <w:sz w:val="22"/>
          <w:szCs w:val="22"/>
        </w:rPr>
      </w:pPr>
      <w:r>
        <w:rPr>
          <w:bCs/>
          <w:sz w:val="22"/>
          <w:szCs w:val="22"/>
        </w:rPr>
        <w:t xml:space="preserve">O Quadro 16 apresenta uma estimativa da infraestrutura proposta para a Biblioteca do </w:t>
      </w:r>
      <w:r>
        <w:rPr>
          <w:bCs/>
          <w:i/>
          <w:sz w:val="22"/>
          <w:szCs w:val="22"/>
        </w:rPr>
        <w:t>Campus</w:t>
      </w:r>
      <w:r>
        <w:rPr>
          <w:bCs/>
          <w:sz w:val="22"/>
          <w:szCs w:val="22"/>
        </w:rPr>
        <w:t xml:space="preserve"> Avançado Vigia, incluindo os diversos ambientes para atendimento ao público, servidores e o espaço para o acervo bibliográfico.</w:t>
      </w:r>
    </w:p>
    <w:p w:rsidR="00762C45" w:rsidRDefault="00762C45">
      <w:pPr>
        <w:ind w:firstLine="567"/>
        <w:jc w:val="both"/>
        <w:rPr>
          <w:bCs/>
          <w:sz w:val="22"/>
          <w:szCs w:val="22"/>
        </w:rPr>
      </w:pPr>
    </w:p>
    <w:p w:rsidR="00762C45" w:rsidRDefault="00303B66">
      <w:pPr>
        <w:pStyle w:val="Legenda"/>
        <w:keepNext/>
        <w:spacing w:before="0" w:after="0" w:line="240" w:lineRule="auto"/>
        <w:ind w:left="0" w:firstLine="0"/>
        <w:jc w:val="center"/>
      </w:pPr>
      <w:bookmarkStart w:id="100" w:name="_Toc474391124"/>
      <w:bookmarkStart w:id="101" w:name="_Toc472974294"/>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16</w:t>
      </w:r>
      <w:r>
        <w:fldChar w:fldCharType="end"/>
      </w:r>
      <w:bookmarkEnd w:id="100"/>
      <w:bookmarkEnd w:id="101"/>
      <w:r>
        <w:rPr>
          <w:rFonts w:ascii="Times New Roman" w:hAnsi="Times New Roman" w:cs="Times New Roman"/>
          <w:b/>
          <w:i w:val="0"/>
          <w:sz w:val="20"/>
          <w:szCs w:val="20"/>
        </w:rPr>
        <w:t>. Infraestrutura necessária para o funcionamento dos ambientes da Biblioteca do CAV</w:t>
      </w:r>
    </w:p>
    <w:tbl>
      <w:tblPr>
        <w:tblW w:w="9137" w:type="dxa"/>
        <w:jc w:val="center"/>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4574"/>
        <w:gridCol w:w="500"/>
        <w:gridCol w:w="638"/>
        <w:gridCol w:w="512"/>
        <w:gridCol w:w="625"/>
        <w:gridCol w:w="513"/>
        <w:gridCol w:w="625"/>
        <w:gridCol w:w="512"/>
        <w:gridCol w:w="638"/>
      </w:tblGrid>
      <w:tr w:rsidR="00762C45">
        <w:trPr>
          <w:trHeight w:val="266"/>
          <w:jc w:val="center"/>
        </w:trPr>
        <w:tc>
          <w:tcPr>
            <w:tcW w:w="4574"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 xml:space="preserve">Descrição </w:t>
            </w:r>
          </w:p>
        </w:tc>
        <w:tc>
          <w:tcPr>
            <w:tcW w:w="1138"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1137"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1137"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1150"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r>
      <w:tr w:rsidR="00762C45">
        <w:trPr>
          <w:trHeight w:val="1"/>
          <w:jc w:val="center"/>
        </w:trPr>
        <w:tc>
          <w:tcPr>
            <w:tcW w:w="4574" w:type="dxa"/>
            <w:vMerge/>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762C45">
            <w:pPr>
              <w:spacing w:line="276" w:lineRule="auto"/>
              <w:jc w:val="both"/>
              <w:rPr>
                <w:sz w:val="20"/>
                <w:szCs w:val="20"/>
              </w:rPr>
            </w:pPr>
          </w:p>
        </w:tc>
        <w:tc>
          <w:tcPr>
            <w:tcW w:w="500"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Und</w:t>
            </w:r>
          </w:p>
        </w:tc>
        <w:tc>
          <w:tcPr>
            <w:tcW w:w="63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m²</w:t>
            </w:r>
          </w:p>
        </w:tc>
        <w:tc>
          <w:tcPr>
            <w:tcW w:w="51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Und</w:t>
            </w:r>
          </w:p>
        </w:tc>
        <w:tc>
          <w:tcPr>
            <w:tcW w:w="625"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m²</w:t>
            </w:r>
          </w:p>
        </w:tc>
        <w:tc>
          <w:tcPr>
            <w:tcW w:w="513"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Und</w:t>
            </w:r>
          </w:p>
        </w:tc>
        <w:tc>
          <w:tcPr>
            <w:tcW w:w="625"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m²</w:t>
            </w:r>
          </w:p>
        </w:tc>
        <w:tc>
          <w:tcPr>
            <w:tcW w:w="51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Und</w:t>
            </w:r>
          </w:p>
        </w:tc>
        <w:tc>
          <w:tcPr>
            <w:tcW w:w="63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m²</w:t>
            </w:r>
          </w:p>
        </w:tc>
      </w:tr>
      <w:tr w:rsidR="00762C45">
        <w:trPr>
          <w:trHeight w:val="1"/>
          <w:jc w:val="center"/>
        </w:trPr>
        <w:tc>
          <w:tcPr>
            <w:tcW w:w="4574"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Ambientes de estudo individual</w:t>
            </w:r>
          </w:p>
        </w:tc>
        <w:tc>
          <w:tcPr>
            <w:tcW w:w="50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6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51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30</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60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30</w:t>
            </w:r>
          </w:p>
        </w:tc>
        <w:tc>
          <w:tcPr>
            <w:tcW w:w="6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60</w:t>
            </w:r>
          </w:p>
        </w:tc>
      </w:tr>
      <w:tr w:rsidR="00762C45">
        <w:trPr>
          <w:trHeight w:val="1"/>
          <w:jc w:val="center"/>
        </w:trPr>
        <w:tc>
          <w:tcPr>
            <w:tcW w:w="4574"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Ambientes de estudo em grupo</w:t>
            </w:r>
          </w:p>
        </w:tc>
        <w:tc>
          <w:tcPr>
            <w:tcW w:w="50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6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51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10</w:t>
            </w:r>
          </w:p>
        </w:tc>
        <w:tc>
          <w:tcPr>
            <w:tcW w:w="6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80</w:t>
            </w:r>
          </w:p>
        </w:tc>
      </w:tr>
      <w:tr w:rsidR="00762C45">
        <w:trPr>
          <w:trHeight w:val="1"/>
          <w:jc w:val="center"/>
        </w:trPr>
        <w:tc>
          <w:tcPr>
            <w:tcW w:w="4574"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Salas para os técnicos administrativos</w:t>
            </w:r>
          </w:p>
        </w:tc>
        <w:tc>
          <w:tcPr>
            <w:tcW w:w="50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6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51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c>
          <w:tcPr>
            <w:tcW w:w="6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50</w:t>
            </w:r>
          </w:p>
        </w:tc>
      </w:tr>
      <w:tr w:rsidR="00762C45">
        <w:trPr>
          <w:trHeight w:val="1"/>
          <w:jc w:val="center"/>
        </w:trPr>
        <w:tc>
          <w:tcPr>
            <w:tcW w:w="4574"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Espaço físico para o acervo</w:t>
            </w:r>
          </w:p>
        </w:tc>
        <w:tc>
          <w:tcPr>
            <w:tcW w:w="50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6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51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3</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75</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3</w:t>
            </w:r>
          </w:p>
        </w:tc>
        <w:tc>
          <w:tcPr>
            <w:tcW w:w="6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75</w:t>
            </w:r>
          </w:p>
        </w:tc>
      </w:tr>
      <w:tr w:rsidR="00762C45">
        <w:trPr>
          <w:trHeight w:val="1"/>
          <w:jc w:val="center"/>
        </w:trPr>
        <w:tc>
          <w:tcPr>
            <w:tcW w:w="4574"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Espaço para atendimento educacional especializado</w:t>
            </w:r>
          </w:p>
        </w:tc>
        <w:tc>
          <w:tcPr>
            <w:tcW w:w="50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6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sz w:val="20"/>
                <w:szCs w:val="20"/>
              </w:rPr>
              <w:t>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sz w:val="20"/>
                <w:szCs w:val="20"/>
              </w:rPr>
              <w:t>0</w:t>
            </w:r>
          </w:p>
        </w:tc>
        <w:tc>
          <w:tcPr>
            <w:tcW w:w="51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c>
          <w:tcPr>
            <w:tcW w:w="625"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30</w:t>
            </w:r>
          </w:p>
        </w:tc>
        <w:tc>
          <w:tcPr>
            <w:tcW w:w="51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c>
          <w:tcPr>
            <w:tcW w:w="6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30</w:t>
            </w:r>
          </w:p>
        </w:tc>
      </w:tr>
    </w:tbl>
    <w:p w:rsidR="00762C45" w:rsidRDefault="00762C45">
      <w:pPr>
        <w:spacing w:line="276" w:lineRule="auto"/>
        <w:jc w:val="both"/>
        <w:rPr>
          <w:sz w:val="22"/>
          <w:szCs w:val="22"/>
        </w:rPr>
      </w:pPr>
    </w:p>
    <w:p w:rsidR="00762C45" w:rsidRDefault="00303B66">
      <w:pPr>
        <w:pStyle w:val="Estilo3"/>
      </w:pPr>
      <w:bookmarkStart w:id="102" w:name="_Toc474391221"/>
      <w:r>
        <w:rPr>
          <w:bCs/>
        </w:rPr>
        <w:t xml:space="preserve">5.1.2 </w:t>
      </w:r>
      <w:r>
        <w:t>Serviços e Informatização</w:t>
      </w:r>
      <w:bookmarkEnd w:id="102"/>
      <w:r>
        <w:t xml:space="preserve"> </w:t>
      </w:r>
    </w:p>
    <w:p w:rsidR="00762C45" w:rsidRDefault="00762C45">
      <w:pPr>
        <w:spacing w:line="276" w:lineRule="auto"/>
        <w:ind w:left="495" w:hanging="495"/>
        <w:jc w:val="both"/>
        <w:rPr>
          <w:b/>
          <w:bCs/>
          <w:sz w:val="22"/>
          <w:szCs w:val="22"/>
        </w:rPr>
      </w:pPr>
    </w:p>
    <w:p w:rsidR="00762C45" w:rsidRDefault="00303B66">
      <w:pPr>
        <w:ind w:firstLine="567"/>
        <w:jc w:val="both"/>
        <w:rPr>
          <w:b/>
          <w:bCs/>
          <w:sz w:val="22"/>
          <w:szCs w:val="22"/>
        </w:rPr>
      </w:pPr>
      <w:r>
        <w:rPr>
          <w:sz w:val="22"/>
          <w:szCs w:val="22"/>
        </w:rPr>
        <w:t>A principal função das bibliotecas dos Institutos Federais está no seu papel de disseminadora da informação e facilitadora do acesso ao conhecimento registrado. Elas são responsáveis por fornecer recursos informacionais (produtos e serviços), indispensáveis à sua atuação de atender a um público diversificado</w:t>
      </w:r>
      <w:r>
        <w:t>.</w:t>
      </w:r>
    </w:p>
    <w:p w:rsidR="00762C45" w:rsidRDefault="00303B66">
      <w:pPr>
        <w:widowControl/>
        <w:suppressAutoHyphens w:val="0"/>
        <w:ind w:firstLine="567"/>
        <w:jc w:val="both"/>
        <w:rPr>
          <w:rFonts w:eastAsia="Times New Roman"/>
          <w:sz w:val="22"/>
          <w:szCs w:val="22"/>
        </w:rPr>
      </w:pPr>
      <w:r>
        <w:rPr>
          <w:rFonts w:eastAsia="Times New Roman"/>
          <w:sz w:val="22"/>
          <w:szCs w:val="22"/>
        </w:rPr>
        <w:t>A automação plena dos serviços de uma biblioteca não é uma tarefa simples. Em primeiro lugar, pretende-se elaborar um projeto que descreva as necessidades, as metas e os resultados a serem atingidos. Tendo um projeto em mãos, será possível identificar soluções disponíveis no mercado (livres ou comerciais), comparar os produtos com as mesmas características e tecnologia e iniciar o levantamento dos custos.</w:t>
      </w:r>
    </w:p>
    <w:p w:rsidR="00762C45" w:rsidRDefault="00303B66">
      <w:pPr>
        <w:widowControl/>
        <w:suppressAutoHyphens w:val="0"/>
        <w:ind w:firstLine="567"/>
        <w:jc w:val="both"/>
        <w:rPr>
          <w:rFonts w:eastAsia="Times New Roman"/>
          <w:sz w:val="22"/>
          <w:szCs w:val="22"/>
        </w:rPr>
      </w:pPr>
      <w:r>
        <w:rPr>
          <w:rFonts w:eastAsia="Times New Roman"/>
          <w:sz w:val="22"/>
          <w:szCs w:val="22"/>
        </w:rPr>
        <w:lastRenderedPageBreak/>
        <w:t xml:space="preserve">A biblioteca do CAV </w:t>
      </w:r>
      <w:r>
        <w:rPr>
          <w:sz w:val="22"/>
          <w:szCs w:val="22"/>
        </w:rPr>
        <w:t xml:space="preserve">encontra-se em fase inicial de formação, a começar pelo seu local de funcionamento, ou seja, numa sala de aula adaptada enquanto não se projeta um novo espaço físico para a construção da sua sede definitiva. Os recursos humanos ainda não foram disponibilizados com vistas a se ter pessoal qualificado para o seu funcionamento. Considerando-se esses aspectos, não dispomos de condições  para propor a sua informatização, em que pese consideramos que a oferta de um serviço de qualidade aos seus usuários passa necessariamente pela adoção de tecnologias modernas capazes de atender as suas necessidades. Portanto, </w:t>
      </w:r>
      <w:r>
        <w:rPr>
          <w:rStyle w:val="a"/>
          <w:sz w:val="22"/>
          <w:szCs w:val="22"/>
        </w:rPr>
        <w:t>cabe a biblioteca planejar suas ações de forma a atender o usuário de acordo com as demandas informacionais oriundas das disciplinas ofertadas.</w:t>
      </w:r>
    </w:p>
    <w:p w:rsidR="00762C45" w:rsidRDefault="00303B66">
      <w:pPr>
        <w:tabs>
          <w:tab w:val="left" w:pos="8565"/>
        </w:tabs>
        <w:spacing w:line="276" w:lineRule="auto"/>
        <w:ind w:left="495" w:hanging="495"/>
        <w:jc w:val="both"/>
        <w:rPr>
          <w:b/>
          <w:bCs/>
          <w:sz w:val="22"/>
          <w:szCs w:val="22"/>
        </w:rPr>
      </w:pPr>
      <w:r>
        <w:rPr>
          <w:b/>
          <w:bCs/>
          <w:sz w:val="22"/>
          <w:szCs w:val="22"/>
        </w:rPr>
        <w:tab/>
      </w:r>
    </w:p>
    <w:p w:rsidR="00762C45" w:rsidRDefault="00303B66">
      <w:pPr>
        <w:pStyle w:val="Estilo3"/>
      </w:pPr>
      <w:bookmarkStart w:id="103" w:name="_Toc474391222"/>
      <w:r>
        <w:rPr>
          <w:bCs/>
        </w:rPr>
        <w:t xml:space="preserve">5.1.3 </w:t>
      </w:r>
      <w:r>
        <w:t>Plano de Atualização do Acervo</w:t>
      </w:r>
      <w:bookmarkEnd w:id="103"/>
      <w:r>
        <w:t xml:space="preserve"> </w:t>
      </w:r>
    </w:p>
    <w:p w:rsidR="00762C45" w:rsidRDefault="00762C45">
      <w:pPr>
        <w:spacing w:line="276" w:lineRule="auto"/>
        <w:ind w:firstLine="567"/>
        <w:jc w:val="both"/>
        <w:rPr>
          <w:sz w:val="22"/>
          <w:szCs w:val="22"/>
        </w:rPr>
      </w:pPr>
    </w:p>
    <w:p w:rsidR="00762C45" w:rsidRDefault="00303B66">
      <w:pPr>
        <w:ind w:firstLine="567"/>
        <w:jc w:val="both"/>
        <w:rPr>
          <w:sz w:val="22"/>
          <w:szCs w:val="22"/>
        </w:rPr>
      </w:pPr>
      <w:r>
        <w:rPr>
          <w:sz w:val="22"/>
          <w:szCs w:val="22"/>
        </w:rPr>
        <w:t xml:space="preserve">Anualmente as coordenações dos cursos com apoio dos professores elaboram uma lista de necessidades de materiais bibliográfico para atender toda estrutura curricular proposta para cada curso. </w:t>
      </w:r>
      <w:r>
        <w:rPr>
          <w:rFonts w:eastAsia="Times New Roman"/>
          <w:sz w:val="22"/>
          <w:szCs w:val="22"/>
        </w:rPr>
        <w:t>As indicações de aquisições são de responsabilidade dos docentes, estes representados pelos seus respectivos Coordenadores</w:t>
      </w:r>
      <w:r>
        <w:rPr>
          <w:sz w:val="22"/>
          <w:szCs w:val="22"/>
        </w:rPr>
        <w:t xml:space="preserve"> </w:t>
      </w:r>
      <w:r>
        <w:rPr>
          <w:rFonts w:eastAsia="Times New Roman"/>
          <w:sz w:val="22"/>
          <w:szCs w:val="22"/>
        </w:rPr>
        <w:t>extensiva à</w:t>
      </w:r>
      <w:r>
        <w:rPr>
          <w:sz w:val="22"/>
          <w:szCs w:val="22"/>
        </w:rPr>
        <w:t xml:space="preserve"> </w:t>
      </w:r>
      <w:r>
        <w:rPr>
          <w:rFonts w:eastAsia="Times New Roman"/>
          <w:sz w:val="22"/>
          <w:szCs w:val="22"/>
        </w:rPr>
        <w:t>comunidade acadêmica, salvo situações extraordinárias em que a própria biblioteca indique referências bibliográficas que sejam de interesse institucional ou interno</w:t>
      </w:r>
      <w:r>
        <w:rPr>
          <w:sz w:val="22"/>
          <w:szCs w:val="22"/>
        </w:rPr>
        <w:t>.</w:t>
      </w:r>
    </w:p>
    <w:p w:rsidR="00762C45" w:rsidRDefault="00303B66">
      <w:pPr>
        <w:ind w:firstLine="567"/>
        <w:jc w:val="both"/>
        <w:rPr>
          <w:rFonts w:eastAsia="Times New Roman"/>
          <w:sz w:val="22"/>
          <w:szCs w:val="22"/>
        </w:rPr>
      </w:pPr>
      <w:r>
        <w:rPr>
          <w:rFonts w:eastAsia="Times New Roman"/>
          <w:sz w:val="22"/>
          <w:szCs w:val="22"/>
        </w:rPr>
        <w:t xml:space="preserve">Manter o acervo atualizado faz parte do esforço constante da biblioteca na sua existência, haja vista ser um ponto sensível ter este acervo sempre em sintonia com a atualidade, o que poderá em algum momento histórico resultar no desbastamento do acervo ou a determinação de crescimento zero, quando atingido determinado número de volumes. </w:t>
      </w:r>
    </w:p>
    <w:p w:rsidR="00762C45" w:rsidRDefault="00303B66">
      <w:pPr>
        <w:ind w:firstLine="567"/>
        <w:jc w:val="both"/>
        <w:rPr>
          <w:rFonts w:eastAsia="Times New Roman"/>
          <w:sz w:val="22"/>
          <w:szCs w:val="22"/>
        </w:rPr>
      </w:pPr>
      <w:r>
        <w:rPr>
          <w:rFonts w:eastAsia="Times New Roman"/>
          <w:sz w:val="22"/>
          <w:szCs w:val="22"/>
        </w:rPr>
        <w:t>O funcionamento da biblioteca se dará de forma ininterrupta, nos três turnos, no horário de 8h00 as 22h00 através de consultas presenciais aos acervos existentes e de pesquisas via on line, sendo permitido aos usuários empréstimos por, no máximo, 7 dias para os títulos que possuírem mais de 2 exemplares. A catalogação do acervo bibliográfico dar-se-á por meio do sistema Pérgamo, possibilitando um maior intercâmbio com outras bibliotecas que também adotem esse sistema.</w:t>
      </w:r>
    </w:p>
    <w:p w:rsidR="00762C45" w:rsidRDefault="00303B66">
      <w:pPr>
        <w:ind w:firstLine="567"/>
        <w:jc w:val="both"/>
        <w:rPr>
          <w:sz w:val="22"/>
          <w:szCs w:val="22"/>
        </w:rPr>
      </w:pPr>
      <w:r>
        <w:rPr>
          <w:rFonts w:eastAsia="Times New Roman"/>
          <w:sz w:val="22"/>
          <w:szCs w:val="22"/>
        </w:rPr>
        <w:t>O Quadro 17 apresenta o estádio atual do acervo bibliográfico da biblioteca do CAV e a sua expansão para o triênio 2016-2018.</w:t>
      </w:r>
    </w:p>
    <w:p w:rsidR="00762C45" w:rsidRDefault="00762C45">
      <w:pPr>
        <w:widowControl/>
        <w:suppressAutoHyphens w:val="0"/>
        <w:jc w:val="both"/>
        <w:rPr>
          <w:rFonts w:eastAsia="Times New Roman"/>
          <w:sz w:val="22"/>
          <w:szCs w:val="22"/>
        </w:rPr>
      </w:pPr>
    </w:p>
    <w:p w:rsidR="00762C45" w:rsidRDefault="00303B66">
      <w:pPr>
        <w:pStyle w:val="Legenda"/>
        <w:keepNext/>
        <w:spacing w:before="0" w:after="0" w:line="240" w:lineRule="auto"/>
        <w:ind w:left="0" w:firstLine="0"/>
        <w:jc w:val="center"/>
      </w:pPr>
      <w:bookmarkStart w:id="104" w:name="_Toc474391125"/>
      <w:bookmarkStart w:id="105" w:name="_Toc472974295"/>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17</w:t>
      </w:r>
      <w:r>
        <w:fldChar w:fldCharType="end"/>
      </w:r>
      <w:bookmarkEnd w:id="104"/>
      <w:bookmarkEnd w:id="105"/>
      <w:r>
        <w:rPr>
          <w:rFonts w:ascii="Times New Roman" w:hAnsi="Times New Roman" w:cs="Times New Roman"/>
          <w:b/>
          <w:i w:val="0"/>
          <w:sz w:val="20"/>
          <w:szCs w:val="20"/>
        </w:rPr>
        <w:t>. Acervo bibliográfico existente e projeção para o triênio 2016-2018</w:t>
      </w:r>
    </w:p>
    <w:tbl>
      <w:tblPr>
        <w:tblW w:w="8839" w:type="dxa"/>
        <w:jc w:val="center"/>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4271"/>
        <w:gridCol w:w="1137"/>
        <w:gridCol w:w="1141"/>
        <w:gridCol w:w="1138"/>
        <w:gridCol w:w="1152"/>
      </w:tblGrid>
      <w:tr w:rsidR="00762C45">
        <w:trPr>
          <w:trHeight w:val="405"/>
          <w:jc w:val="center"/>
        </w:trPr>
        <w:tc>
          <w:tcPr>
            <w:tcW w:w="4271"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before="480" w:after="120" w:line="276" w:lineRule="auto"/>
              <w:jc w:val="center"/>
              <w:rPr>
                <w:sz w:val="20"/>
                <w:szCs w:val="20"/>
              </w:rPr>
            </w:pPr>
            <w:r>
              <w:rPr>
                <w:b/>
                <w:bCs/>
                <w:sz w:val="20"/>
                <w:szCs w:val="20"/>
              </w:rPr>
              <w:t>Descrição do acervo da Biblioteca</w:t>
            </w:r>
          </w:p>
        </w:tc>
        <w:tc>
          <w:tcPr>
            <w:tcW w:w="4568" w:type="dxa"/>
            <w:gridSpan w:val="4"/>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 xml:space="preserve">Quantidade </w:t>
            </w:r>
          </w:p>
        </w:tc>
      </w:tr>
      <w:tr w:rsidR="00762C45">
        <w:trPr>
          <w:trHeight w:val="266"/>
          <w:jc w:val="center"/>
        </w:trPr>
        <w:tc>
          <w:tcPr>
            <w:tcW w:w="4271" w:type="dxa"/>
            <w:vMerge/>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762C45">
            <w:pPr>
              <w:spacing w:line="276" w:lineRule="auto"/>
              <w:jc w:val="both"/>
              <w:rPr>
                <w:sz w:val="20"/>
                <w:szCs w:val="20"/>
              </w:rPr>
            </w:pPr>
          </w:p>
        </w:tc>
        <w:tc>
          <w:tcPr>
            <w:tcW w:w="113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1141"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113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115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Títulos</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118</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800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1.000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1.200</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Exemplares</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2.400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2.500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3.000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3.500</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Periódicos</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20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30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40</w:t>
            </w:r>
          </w:p>
        </w:tc>
      </w:tr>
      <w:tr w:rsidR="00762C45">
        <w:trPr>
          <w:trHeight w:val="1"/>
          <w:jc w:val="center"/>
        </w:trPr>
        <w:tc>
          <w:tcPr>
            <w:tcW w:w="4271"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Outros – TCC, Folhetos, Dissertações, Teses, CD ROM</w:t>
            </w:r>
          </w:p>
        </w:tc>
        <w:tc>
          <w:tcPr>
            <w:tcW w:w="11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20</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50</w:t>
            </w:r>
          </w:p>
        </w:tc>
        <w:tc>
          <w:tcPr>
            <w:tcW w:w="113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60</w:t>
            </w:r>
          </w:p>
        </w:tc>
        <w:tc>
          <w:tcPr>
            <w:tcW w:w="115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sz w:val="20"/>
                <w:szCs w:val="20"/>
              </w:rPr>
            </w:pPr>
            <w:r>
              <w:rPr>
                <w:sz w:val="20"/>
                <w:szCs w:val="20"/>
              </w:rPr>
              <w:t>80</w:t>
            </w:r>
          </w:p>
        </w:tc>
      </w:tr>
    </w:tbl>
    <w:p w:rsidR="00762C45" w:rsidRDefault="00762C45">
      <w:pPr>
        <w:pStyle w:val="Estilo20"/>
      </w:pPr>
    </w:p>
    <w:p w:rsidR="00762C45" w:rsidRDefault="00303B66">
      <w:pPr>
        <w:pStyle w:val="Estilo20"/>
      </w:pPr>
      <w:bookmarkStart w:id="106" w:name="_Toc474391223"/>
      <w:bookmarkEnd w:id="106"/>
      <w:r>
        <w:t>5.2. Laboratório de Informática ou Infraestrutura equivalente</w:t>
      </w:r>
    </w:p>
    <w:p w:rsidR="00762C45" w:rsidRDefault="00762C45">
      <w:pPr>
        <w:ind w:hanging="495"/>
        <w:jc w:val="both"/>
        <w:rPr>
          <w:b/>
          <w:bCs/>
          <w:color w:val="FF0000"/>
          <w:sz w:val="22"/>
          <w:szCs w:val="22"/>
        </w:rPr>
      </w:pPr>
    </w:p>
    <w:p w:rsidR="00762C45" w:rsidRDefault="00303B66">
      <w:pPr>
        <w:tabs>
          <w:tab w:val="left" w:pos="1025"/>
        </w:tabs>
        <w:ind w:firstLine="567"/>
        <w:jc w:val="both"/>
      </w:pPr>
      <w:r>
        <w:rPr>
          <w:color w:val="000000"/>
          <w:sz w:val="22"/>
          <w:szCs w:val="22"/>
        </w:rPr>
        <w:t xml:space="preserve">O laboratório de informática (atualmente na sede provisória) conta com 17 computadores, com sistema operacional Linux Ubuntu 16.04 (última versão) e acesso à internet via rede sem fio (wireless). Encontram-se instalados software livres necessários ao curso de informática, como ambientes de desenvolvimento, suíte de escritório, editores gráficos, cliente-servidor de banco de dados, servidor web conforme solicitação dos docentes do curso de informática. Há também software de mapeamento geográfico (qgis) utilizado no curso de recursos pesqueiros. </w:t>
      </w:r>
    </w:p>
    <w:p w:rsidR="00762C45" w:rsidRDefault="00303B66">
      <w:pPr>
        <w:tabs>
          <w:tab w:val="left" w:pos="1025"/>
        </w:tabs>
        <w:ind w:firstLine="567"/>
        <w:jc w:val="both"/>
      </w:pPr>
      <w:r>
        <w:rPr>
          <w:color w:val="000000"/>
          <w:sz w:val="22"/>
          <w:szCs w:val="22"/>
        </w:rPr>
        <w:t xml:space="preserve">A rede da instituição conta com bloqueio da saída de internet via firewall, que limita o acesso aos dispositivos que tenham seus endereços físicos cadastrados nas regras de firewall. A rede administrativa utiliza rádio diverso do laboratório, configurado com saída por NAT, bloqueando o tráfego no sentido laboratório-administração, isolando o acesso público (alunos) do administrativo, política de segurança esta que deverá ser replicada e estendida na nova sede. </w:t>
      </w:r>
    </w:p>
    <w:p w:rsidR="00762C45" w:rsidRDefault="00303B66">
      <w:pPr>
        <w:tabs>
          <w:tab w:val="left" w:pos="1025"/>
        </w:tabs>
        <w:ind w:firstLine="567"/>
        <w:jc w:val="both"/>
      </w:pPr>
      <w:r>
        <w:rPr>
          <w:color w:val="000000"/>
          <w:sz w:val="22"/>
          <w:szCs w:val="22"/>
        </w:rPr>
        <w:t xml:space="preserve">A sede provisória atual do </w:t>
      </w:r>
      <w:r>
        <w:rPr>
          <w:i/>
          <w:iCs/>
          <w:color w:val="000000"/>
          <w:sz w:val="22"/>
          <w:szCs w:val="22"/>
        </w:rPr>
        <w:t>campus</w:t>
      </w:r>
      <w:r>
        <w:rPr>
          <w:color w:val="000000"/>
          <w:sz w:val="22"/>
          <w:szCs w:val="22"/>
        </w:rPr>
        <w:t xml:space="preserve"> possui rampa de entrada no portão e rampa para a entrada do setor administrativo. Não há elevação entre o portão e a entrada para as salas de aula, estando disponível corredor lateral para acesso a cadeirante.</w:t>
      </w:r>
    </w:p>
    <w:p w:rsidR="00762C45" w:rsidRDefault="00303B66">
      <w:pPr>
        <w:tabs>
          <w:tab w:val="left" w:pos="1025"/>
        </w:tabs>
        <w:ind w:firstLine="567"/>
        <w:jc w:val="both"/>
      </w:pPr>
      <w:r>
        <w:rPr>
          <w:color w:val="000000"/>
          <w:sz w:val="22"/>
          <w:szCs w:val="22"/>
        </w:rPr>
        <w:lastRenderedPageBreak/>
        <w:t xml:space="preserve">No momento da elaboração deste PDC, o </w:t>
      </w:r>
      <w:r>
        <w:rPr>
          <w:i/>
          <w:iCs/>
          <w:color w:val="000000"/>
          <w:sz w:val="22"/>
          <w:szCs w:val="22"/>
        </w:rPr>
        <w:t xml:space="preserve">Campus </w:t>
      </w:r>
      <w:r>
        <w:rPr>
          <w:color w:val="000000"/>
          <w:sz w:val="22"/>
          <w:szCs w:val="22"/>
        </w:rPr>
        <w:t xml:space="preserve">Avançado Vigia aguarda o empenho de computadores e equipamentos de conectividade já licitados para a nova sede. Esses novos equipamentos foram licitados com termos de referência que garantem maiores funcionalidades relacionadas à segurança do que os atualmente utilizados na sede provisória do </w:t>
      </w:r>
      <w:r>
        <w:rPr>
          <w:i/>
          <w:iCs/>
          <w:color w:val="000000"/>
          <w:sz w:val="22"/>
          <w:szCs w:val="22"/>
        </w:rPr>
        <w:t xml:space="preserve">Campus </w:t>
      </w:r>
      <w:r>
        <w:rPr>
          <w:color w:val="000000"/>
          <w:sz w:val="22"/>
          <w:szCs w:val="22"/>
        </w:rPr>
        <w:t>Avançado Vigia.</w:t>
      </w:r>
    </w:p>
    <w:p w:rsidR="00762C45" w:rsidRDefault="00303B66">
      <w:pPr>
        <w:tabs>
          <w:tab w:val="left" w:pos="1025"/>
        </w:tabs>
        <w:ind w:firstLine="567"/>
        <w:jc w:val="both"/>
      </w:pPr>
      <w:r>
        <w:rPr>
          <w:color w:val="000000"/>
          <w:sz w:val="22"/>
          <w:szCs w:val="22"/>
        </w:rPr>
        <w:t xml:space="preserve">Os dois laboratórios de informática da nova sede do CAV funcionarão em duas salas de aula do primeiro pavimento do bloco pedagógico. Cada sala foi adaptada com instalação elétrica para suportar a instalação de 30 computadores, com 60 tomadas tripolares e quadro elétrico exclusivo. </w:t>
      </w:r>
    </w:p>
    <w:p w:rsidR="00762C45" w:rsidRDefault="00303B66">
      <w:pPr>
        <w:tabs>
          <w:tab w:val="left" w:pos="1025"/>
        </w:tabs>
        <w:ind w:firstLine="567"/>
        <w:jc w:val="both"/>
      </w:pPr>
      <w:r>
        <w:rPr>
          <w:color w:val="000000"/>
          <w:sz w:val="22"/>
          <w:szCs w:val="22"/>
        </w:rPr>
        <w:t xml:space="preserve">O acesso à internet será através de rede sem fio (wireless), com expectativa de migração para rede cabeada, mediante proposta de projeto futuro para aquisição de material para essa adequação. Nessa proposta, será sugerida a implementação da infraestrutura de cabeamento, crimpagem e configuração pelos discentes de informática, sob supervisão dos professores e da TI da instituição, como parte do tempo comunidade. Essa medida visa suprir a carência de oportunidades para a realização desse tipo de atividade prática na região. Será considerado, no entanto, a expectativa de urbanização e construção do bloco administrativo da sede do </w:t>
      </w:r>
      <w:r>
        <w:rPr>
          <w:i/>
          <w:iCs/>
          <w:color w:val="000000"/>
          <w:sz w:val="22"/>
          <w:szCs w:val="22"/>
        </w:rPr>
        <w:t>campus</w:t>
      </w:r>
      <w:r>
        <w:rPr>
          <w:color w:val="000000"/>
          <w:sz w:val="22"/>
          <w:szCs w:val="22"/>
        </w:rPr>
        <w:t xml:space="preserve">, onde está prevista a construção de 2 laboratórios de informática definitivos, o que liberaria as 2 salas de aula atualmente adaptadas para essa função. </w:t>
      </w:r>
    </w:p>
    <w:p w:rsidR="00762C45" w:rsidRDefault="00303B66">
      <w:pPr>
        <w:keepNext/>
        <w:ind w:firstLine="567"/>
        <w:jc w:val="both"/>
      </w:pPr>
      <w:r>
        <w:rPr>
          <w:color w:val="000000"/>
          <w:sz w:val="22"/>
          <w:szCs w:val="22"/>
        </w:rPr>
        <w:t>Conforme o prazo de execução dessa obra definitiva será avaliada a viabilidade do projeto de cabeamento dos laboratórios provisórios. Se o prazo para construção dos laboratórios definitivos for suficientemente curto, pode ser mais interessante aguardar os laboratórios definitivos do que realizar um upgrade na rede dos laboratórios provisórios.</w:t>
      </w:r>
    </w:p>
    <w:p w:rsidR="00762C45" w:rsidRDefault="00303B66">
      <w:pPr>
        <w:keepNext/>
        <w:ind w:firstLine="567"/>
        <w:jc w:val="both"/>
      </w:pPr>
      <w:r>
        <w:rPr>
          <w:color w:val="000000"/>
          <w:sz w:val="22"/>
          <w:szCs w:val="22"/>
        </w:rPr>
        <w:t>Com vistas a inclusão no projeto de urbanização e expansão da sede do Campus Avançado Vigia, seguem abaixo as recomendações para construção de 2 (dois) laboratórios de Informática, apresentadas pelo professor do curso de Informática:</w:t>
      </w:r>
    </w:p>
    <w:p w:rsidR="00762C45" w:rsidRDefault="00303B66">
      <w:pPr>
        <w:jc w:val="both"/>
      </w:pPr>
      <w:r>
        <w:rPr>
          <w:color w:val="000000"/>
          <w:sz w:val="22"/>
          <w:szCs w:val="22"/>
        </w:rPr>
        <w:t xml:space="preserve">1) Um </w:t>
      </w:r>
      <w:r>
        <w:rPr>
          <w:b/>
          <w:bCs/>
          <w:color w:val="000000"/>
          <w:sz w:val="22"/>
          <w:szCs w:val="22"/>
        </w:rPr>
        <w:t>Laboratório de Uso Geral</w:t>
      </w:r>
      <w:r>
        <w:rPr>
          <w:color w:val="000000"/>
          <w:sz w:val="22"/>
          <w:szCs w:val="22"/>
        </w:rPr>
        <w:t xml:space="preserve"> para todos os cursos com os seguintes requisitos: capacidade para no mínimo 40 alunos, com bancadas e/ou mesas próprias para computadores e cadeiras, Acesso a Internet (cabeado e/ou sem fio), Sistema Operacional Windows, Programas e Aplicativos de uso geral, tais como, Microsoft Office, Antivírus, Navegadores, Leitores de PDF, etc, se possível o projeto deverá contemplar, no mínimo, 2 m</w:t>
      </w:r>
      <w:r>
        <w:rPr>
          <w:color w:val="000000"/>
          <w:position w:val="9"/>
          <w:sz w:val="22"/>
          <w:szCs w:val="22"/>
        </w:rPr>
        <w:t xml:space="preserve">2 </w:t>
      </w:r>
      <w:r>
        <w:rPr>
          <w:color w:val="000000"/>
          <w:sz w:val="22"/>
          <w:szCs w:val="22"/>
        </w:rPr>
        <w:t>para cada computador a ser instalado, o laboratório deverá ser protegido de forma adequada contra agentes agressivos como, por exemplo, areia, poeira, chuva, além estar bem distantes de tubulações hidráulicas. Equipamentos de conectividades sem fio (</w:t>
      </w:r>
      <w:r>
        <w:rPr>
          <w:i/>
          <w:iCs/>
          <w:color w:val="000000"/>
          <w:sz w:val="22"/>
          <w:szCs w:val="22"/>
        </w:rPr>
        <w:t>access point</w:t>
      </w:r>
      <w:r>
        <w:rPr>
          <w:color w:val="000000"/>
          <w:sz w:val="22"/>
          <w:szCs w:val="22"/>
        </w:rPr>
        <w:t xml:space="preserve">, </w:t>
      </w:r>
      <w:r>
        <w:rPr>
          <w:i/>
          <w:iCs/>
          <w:color w:val="000000"/>
          <w:sz w:val="22"/>
          <w:szCs w:val="22"/>
        </w:rPr>
        <w:t>router</w:t>
      </w:r>
      <w:r>
        <w:rPr>
          <w:color w:val="000000"/>
          <w:sz w:val="22"/>
          <w:szCs w:val="22"/>
        </w:rPr>
        <w:t xml:space="preserve">, </w:t>
      </w:r>
      <w:r>
        <w:rPr>
          <w:i/>
          <w:iCs/>
          <w:color w:val="000000"/>
          <w:sz w:val="22"/>
          <w:szCs w:val="22"/>
        </w:rPr>
        <w:t>repeater</w:t>
      </w:r>
      <w:r>
        <w:rPr>
          <w:color w:val="000000"/>
          <w:sz w:val="22"/>
          <w:szCs w:val="22"/>
        </w:rPr>
        <w:t>). Em relação as especificações técnicas de temperatura, deverá ser instalado uma ou mais centrais de ar condicionado, no mínimo, 18.000 BTU. Tomadas elétricas e</w:t>
      </w:r>
      <w:r>
        <w:rPr>
          <w:rFonts w:ascii="Arial" w:hAnsi="Arial" w:cs="Arial"/>
          <w:sz w:val="22"/>
          <w:szCs w:val="22"/>
        </w:rPr>
        <w:t xml:space="preserve"> </w:t>
      </w:r>
      <w:r>
        <w:rPr>
          <w:color w:val="000000"/>
          <w:sz w:val="22"/>
          <w:szCs w:val="22"/>
        </w:rPr>
        <w:t>lógicas (se possível CAT 6) de acordo com as normas vigentes para cada computador, além de tomadas elétricas de uso geral. Exigência mínima da rede elétrica para o fornecimento de energia de 110 V ou 220 V, com capacidade de pelo menos 10 KVA, parâmetro mínimo de carga na rede elétrica para o funcionamento dos equipamentos a serem instalados, tais como, no-break, estabilizadores e filtros de linha. Quadro de distribuição de energia elétrica exclusivo para todos os circuitos elétricos que alimentaram os equipamentos de informática do laboratório, além do aterramento do quadro e seus circuitos. </w:t>
      </w:r>
    </w:p>
    <w:p w:rsidR="00762C45" w:rsidRDefault="00303B66">
      <w:pPr>
        <w:tabs>
          <w:tab w:val="left" w:pos="1025"/>
        </w:tabs>
        <w:jc w:val="both"/>
        <w:rPr>
          <w:color w:val="000000"/>
          <w:sz w:val="22"/>
          <w:szCs w:val="22"/>
        </w:rPr>
      </w:pPr>
      <w:r>
        <w:rPr>
          <w:color w:val="000000"/>
          <w:sz w:val="22"/>
          <w:szCs w:val="22"/>
        </w:rPr>
        <w:t xml:space="preserve">2) Um </w:t>
      </w:r>
      <w:r>
        <w:rPr>
          <w:b/>
          <w:bCs/>
          <w:color w:val="000000"/>
          <w:sz w:val="22"/>
          <w:szCs w:val="22"/>
        </w:rPr>
        <w:t>Laboratório de Redes de Computadores/Montagem e Manutenção de Computadores</w:t>
      </w:r>
      <w:r>
        <w:rPr>
          <w:color w:val="000000"/>
          <w:sz w:val="22"/>
          <w:szCs w:val="22"/>
        </w:rPr>
        <w:t xml:space="preserve"> para o curso de informática com os seguintes requisitos: capacidade para no mínimo 40 alunos, com bancadas e/ou mesas próprias para computadores e cadeiras, Acesso a Internet (cabeado e/ou sem fio), Sistema Operacional Windows e Linux (dual boot), Programas e Aplicativos de uso geral, tais como, Microsoft Office, Antivírus, Navegadores, Leitores de PDF, etc. Equipamentos de conectividades sem fio (</w:t>
      </w:r>
      <w:r>
        <w:rPr>
          <w:i/>
          <w:iCs/>
          <w:color w:val="000000"/>
          <w:sz w:val="22"/>
          <w:szCs w:val="22"/>
        </w:rPr>
        <w:t>access point</w:t>
      </w:r>
      <w:r>
        <w:rPr>
          <w:color w:val="000000"/>
          <w:sz w:val="22"/>
          <w:szCs w:val="22"/>
        </w:rPr>
        <w:t xml:space="preserve">, </w:t>
      </w:r>
      <w:r>
        <w:rPr>
          <w:i/>
          <w:iCs/>
          <w:color w:val="000000"/>
          <w:sz w:val="22"/>
          <w:szCs w:val="22"/>
        </w:rPr>
        <w:t>router</w:t>
      </w:r>
      <w:r>
        <w:rPr>
          <w:color w:val="000000"/>
          <w:sz w:val="22"/>
          <w:szCs w:val="22"/>
        </w:rPr>
        <w:t xml:space="preserve">, </w:t>
      </w:r>
      <w:r>
        <w:rPr>
          <w:i/>
          <w:iCs/>
          <w:color w:val="000000"/>
          <w:sz w:val="22"/>
          <w:szCs w:val="22"/>
        </w:rPr>
        <w:t>repeater</w:t>
      </w:r>
      <w:r>
        <w:rPr>
          <w:color w:val="000000"/>
          <w:sz w:val="22"/>
          <w:szCs w:val="22"/>
        </w:rPr>
        <w:t>). Uma ou duas bancadas didáticas para experimentos de redes de computadores, se possível o projeto deverá contemplar, no mínimo, 2 m</w:t>
      </w:r>
      <w:r>
        <w:rPr>
          <w:color w:val="000000"/>
          <w:position w:val="9"/>
          <w:sz w:val="22"/>
          <w:szCs w:val="22"/>
        </w:rPr>
        <w:t xml:space="preserve">2 </w:t>
      </w:r>
      <w:r>
        <w:rPr>
          <w:color w:val="000000"/>
          <w:sz w:val="22"/>
          <w:szCs w:val="22"/>
        </w:rPr>
        <w:t>para cada computador a ser instalado, o laboratório deverá ser protegido de forma adequada contra agentes agressivos como, por exemplo, areia, poeira, chuva, além estar bem distantes de tubulações hidráulicas. Em relação a especificações técnicas de temperatura, deverá ser instalado uma ou mais centrais de ar condicionado, no mínimo, 18.000 BTU. Tomadas elétricas e lógicas (se possível CAT 6) de acordo com as normas vigentes para cada computador, além de tomadas elétricas de uso geral. Exigência mínima da rede elétrica para o fornecimento de energia de 110 V ou 220 V, com capacidade de pelo menos 10 KVA, parâmetro mínimo de carga na rede elétrica para o funcionamento dos equipamentos a serem instalados, tais como, no-break, estabilizadores e filtros de linha. Quadro de distribuição de energia elétrica exclusivo para todos os circuitos elétricos que alimentaram os equipamentos de informática do laboratório, além do aterramento do quadro e seus circuitos.</w:t>
      </w:r>
    </w:p>
    <w:p w:rsidR="00762C45" w:rsidRDefault="00303B66">
      <w:pPr>
        <w:tabs>
          <w:tab w:val="left" w:pos="1025"/>
        </w:tabs>
        <w:ind w:firstLine="567"/>
        <w:jc w:val="both"/>
      </w:pPr>
      <w:r>
        <w:rPr>
          <w:color w:val="000000"/>
          <w:sz w:val="22"/>
          <w:szCs w:val="22"/>
        </w:rPr>
        <w:t>O Quadro 18 apresenta a atual infraestrutura de Laboratório de Informática e a projeção para o triênio 2016-2018.</w:t>
      </w:r>
    </w:p>
    <w:p w:rsidR="00762C45" w:rsidRDefault="00303B66">
      <w:pPr>
        <w:pStyle w:val="Legenda"/>
        <w:spacing w:before="0" w:line="240" w:lineRule="auto"/>
        <w:ind w:left="0"/>
      </w:pPr>
      <w:bookmarkStart w:id="107" w:name="_Toc474391126"/>
      <w:bookmarkStart w:id="108" w:name="_Toc472974296"/>
      <w:r>
        <w:rPr>
          <w:rFonts w:ascii="Times New Roman" w:hAnsi="Times New Roman" w:cs="Times New Roman"/>
          <w:b/>
          <w:i w:val="0"/>
          <w:sz w:val="20"/>
          <w:szCs w:val="20"/>
        </w:rPr>
        <w:lastRenderedPageBreak/>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18</w:t>
      </w:r>
      <w:r>
        <w:fldChar w:fldCharType="end"/>
      </w:r>
      <w:bookmarkEnd w:id="107"/>
      <w:bookmarkEnd w:id="108"/>
      <w:r>
        <w:rPr>
          <w:rFonts w:ascii="Times New Roman" w:hAnsi="Times New Roman" w:cs="Times New Roman"/>
          <w:b/>
          <w:i w:val="0"/>
          <w:sz w:val="20"/>
          <w:szCs w:val="20"/>
        </w:rPr>
        <w:t>. Infraestrutura de Laboratório de Informática existente e projeção para o triênio 2016-2018</w:t>
      </w:r>
    </w:p>
    <w:tbl>
      <w:tblPr>
        <w:tblW w:w="8839" w:type="dxa"/>
        <w:tblInd w:w="698"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4264"/>
        <w:gridCol w:w="510"/>
        <w:gridCol w:w="632"/>
        <w:gridCol w:w="507"/>
        <w:gridCol w:w="635"/>
        <w:gridCol w:w="508"/>
        <w:gridCol w:w="636"/>
        <w:gridCol w:w="508"/>
        <w:gridCol w:w="639"/>
      </w:tblGrid>
      <w:tr w:rsidR="00762C45">
        <w:trPr>
          <w:trHeight w:val="266"/>
        </w:trPr>
        <w:tc>
          <w:tcPr>
            <w:tcW w:w="4266"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Descrição do espaço físico dos Laboratórios de informática (quantidade e dimensões)</w:t>
            </w:r>
          </w:p>
        </w:tc>
        <w:tc>
          <w:tcPr>
            <w:tcW w:w="1142"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1142"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1141"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1147"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r>
      <w:tr w:rsidR="00762C45">
        <w:trPr>
          <w:trHeight w:val="1"/>
        </w:trPr>
        <w:tc>
          <w:tcPr>
            <w:tcW w:w="4266" w:type="dxa"/>
            <w:vMerge/>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762C45">
            <w:pPr>
              <w:spacing w:line="276" w:lineRule="auto"/>
              <w:jc w:val="both"/>
              <w:rPr>
                <w:sz w:val="20"/>
                <w:szCs w:val="20"/>
              </w:rPr>
            </w:pPr>
          </w:p>
        </w:tc>
        <w:tc>
          <w:tcPr>
            <w:tcW w:w="510"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Und</w:t>
            </w:r>
          </w:p>
        </w:tc>
        <w:tc>
          <w:tcPr>
            <w:tcW w:w="63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m²</w:t>
            </w:r>
          </w:p>
        </w:tc>
        <w:tc>
          <w:tcPr>
            <w:tcW w:w="50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Und</w:t>
            </w:r>
          </w:p>
        </w:tc>
        <w:tc>
          <w:tcPr>
            <w:tcW w:w="634"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m²</w:t>
            </w:r>
          </w:p>
        </w:tc>
        <w:tc>
          <w:tcPr>
            <w:tcW w:w="50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Und</w:t>
            </w:r>
          </w:p>
        </w:tc>
        <w:tc>
          <w:tcPr>
            <w:tcW w:w="636"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m²</w:t>
            </w:r>
          </w:p>
        </w:tc>
        <w:tc>
          <w:tcPr>
            <w:tcW w:w="508"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Und</w:t>
            </w:r>
          </w:p>
        </w:tc>
        <w:tc>
          <w:tcPr>
            <w:tcW w:w="637"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m²</w:t>
            </w:r>
          </w:p>
        </w:tc>
      </w:tr>
      <w:tr w:rsidR="00762C45">
        <w:trPr>
          <w:trHeight w:val="1"/>
        </w:trPr>
        <w:tc>
          <w:tcPr>
            <w:tcW w:w="4266"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Laboratório Informática I</w:t>
            </w:r>
          </w:p>
        </w:tc>
        <w:tc>
          <w:tcPr>
            <w:tcW w:w="51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63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63,6</w:t>
            </w:r>
          </w:p>
        </w:tc>
        <w:tc>
          <w:tcPr>
            <w:tcW w:w="50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63,6</w:t>
            </w:r>
          </w:p>
        </w:tc>
        <w:tc>
          <w:tcPr>
            <w:tcW w:w="50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3</w:t>
            </w:r>
          </w:p>
        </w:tc>
        <w:tc>
          <w:tcPr>
            <w:tcW w:w="636"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210</w:t>
            </w:r>
          </w:p>
        </w:tc>
        <w:tc>
          <w:tcPr>
            <w:tcW w:w="508"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5</w:t>
            </w:r>
          </w:p>
        </w:tc>
        <w:tc>
          <w:tcPr>
            <w:tcW w:w="637"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350</w:t>
            </w:r>
          </w:p>
        </w:tc>
      </w:tr>
    </w:tbl>
    <w:p w:rsidR="00762C45" w:rsidRDefault="00762C45">
      <w:pPr>
        <w:spacing w:line="276" w:lineRule="auto"/>
        <w:jc w:val="both"/>
        <w:rPr>
          <w:b/>
          <w:bCs/>
          <w:sz w:val="22"/>
          <w:szCs w:val="22"/>
        </w:rPr>
      </w:pPr>
    </w:p>
    <w:p w:rsidR="00762C45" w:rsidRDefault="00303B66">
      <w:pPr>
        <w:pStyle w:val="Estilo20"/>
      </w:pPr>
      <w:bookmarkStart w:id="109" w:name="_Toc474391224"/>
      <w:bookmarkEnd w:id="109"/>
      <w:r>
        <w:t>5.3 Recursos de Tecnologias de Informação e Comunicação</w:t>
      </w:r>
    </w:p>
    <w:p w:rsidR="00762C45" w:rsidRDefault="00762C45">
      <w:pPr>
        <w:spacing w:line="276" w:lineRule="auto"/>
        <w:ind w:firstLine="567"/>
        <w:jc w:val="both"/>
        <w:rPr>
          <w:color w:val="FF0000"/>
          <w:sz w:val="22"/>
          <w:szCs w:val="22"/>
        </w:rPr>
      </w:pPr>
    </w:p>
    <w:p w:rsidR="00762C45" w:rsidRDefault="00303B66">
      <w:pPr>
        <w:ind w:firstLine="567"/>
        <w:jc w:val="both"/>
        <w:rPr>
          <w:sz w:val="22"/>
          <w:szCs w:val="22"/>
        </w:rPr>
      </w:pPr>
      <w:r>
        <w:rPr>
          <w:color w:val="000000"/>
          <w:sz w:val="22"/>
          <w:szCs w:val="22"/>
        </w:rPr>
        <w:t xml:space="preserve">O </w:t>
      </w:r>
      <w:r>
        <w:rPr>
          <w:i/>
          <w:color w:val="000000"/>
          <w:sz w:val="22"/>
          <w:szCs w:val="22"/>
        </w:rPr>
        <w:t>Campus</w:t>
      </w:r>
      <w:r>
        <w:rPr>
          <w:color w:val="000000"/>
          <w:sz w:val="22"/>
          <w:szCs w:val="22"/>
        </w:rPr>
        <w:t xml:space="preserve"> Avançado Vigia atualmente conta com acesso à internet 24 horas através de dois links da RNP (Rede Nacional de Pesquisa), que liga o campus à reitoria, sendo um link por enlace de fibra ótica com 20mbps e o outro por enlace de rádio de 4mbps, fruto de parceria entre RNP e PRODEPA. O Campus conta também com os seguintes equipamentos:</w:t>
      </w:r>
    </w:p>
    <w:p w:rsidR="00762C45" w:rsidRDefault="00303B66">
      <w:pPr>
        <w:jc w:val="both"/>
        <w:rPr>
          <w:color w:val="FF0000"/>
          <w:sz w:val="22"/>
          <w:szCs w:val="22"/>
        </w:rPr>
      </w:pPr>
      <w:r>
        <w:rPr>
          <w:color w:val="000000"/>
          <w:sz w:val="22"/>
          <w:szCs w:val="22"/>
        </w:rPr>
        <w:t>a) 1 equipamento de videoconferência, que permite a realização de reuniões com outros campi;</w:t>
      </w:r>
    </w:p>
    <w:p w:rsidR="00762C45" w:rsidRDefault="00303B66">
      <w:pPr>
        <w:jc w:val="both"/>
        <w:rPr>
          <w:color w:val="FF0000"/>
          <w:sz w:val="22"/>
          <w:szCs w:val="22"/>
        </w:rPr>
      </w:pPr>
      <w:r>
        <w:rPr>
          <w:color w:val="000000"/>
          <w:sz w:val="22"/>
          <w:szCs w:val="22"/>
        </w:rPr>
        <w:t>b) 2 quadros interativos;</w:t>
      </w:r>
    </w:p>
    <w:p w:rsidR="00762C45" w:rsidRDefault="00303B66">
      <w:pPr>
        <w:jc w:val="both"/>
        <w:rPr>
          <w:color w:val="FF0000"/>
          <w:sz w:val="22"/>
          <w:szCs w:val="22"/>
        </w:rPr>
      </w:pPr>
      <w:r>
        <w:rPr>
          <w:color w:val="000000"/>
          <w:sz w:val="22"/>
          <w:szCs w:val="22"/>
        </w:rPr>
        <w:t>c) 4 projetores multimídia;</w:t>
      </w:r>
    </w:p>
    <w:p w:rsidR="00762C45" w:rsidRDefault="00303B66">
      <w:pPr>
        <w:jc w:val="both"/>
        <w:rPr>
          <w:color w:val="FF0000"/>
          <w:sz w:val="22"/>
          <w:szCs w:val="22"/>
        </w:rPr>
      </w:pPr>
      <w:r>
        <w:rPr>
          <w:color w:val="000000"/>
          <w:sz w:val="22"/>
          <w:szCs w:val="22"/>
        </w:rPr>
        <w:t>d) 2 netbooks.</w:t>
      </w:r>
    </w:p>
    <w:p w:rsidR="00762C45" w:rsidRDefault="00762C45">
      <w:pPr>
        <w:keepNext/>
        <w:jc w:val="both"/>
        <w:rPr>
          <w:rFonts w:ascii="Arial" w:hAnsi="Arial" w:cs="Arial"/>
          <w:sz w:val="22"/>
          <w:szCs w:val="22"/>
        </w:rPr>
      </w:pPr>
    </w:p>
    <w:p w:rsidR="00762C45" w:rsidRDefault="00303B66">
      <w:pPr>
        <w:pStyle w:val="Estilo20"/>
      </w:pPr>
      <w:bookmarkStart w:id="110" w:name="_Toc474391225"/>
      <w:bookmarkEnd w:id="110"/>
      <w:r>
        <w:t>5.4 Laboratórios, Ambientes e Cenários para Práticas Didáticas</w:t>
      </w:r>
    </w:p>
    <w:p w:rsidR="00762C45" w:rsidRDefault="00762C45">
      <w:pPr>
        <w:pStyle w:val="Estilo20"/>
      </w:pPr>
    </w:p>
    <w:p w:rsidR="00762C45" w:rsidRDefault="00303B66">
      <w:pPr>
        <w:widowControl/>
        <w:numPr>
          <w:ilvl w:val="0"/>
          <w:numId w:val="17"/>
        </w:numPr>
        <w:tabs>
          <w:tab w:val="left" w:pos="284"/>
        </w:tabs>
        <w:suppressAutoHyphens w:val="0"/>
        <w:jc w:val="both"/>
        <w:rPr>
          <w:rFonts w:eastAsia="Times New Roman"/>
          <w:sz w:val="22"/>
          <w:szCs w:val="22"/>
        </w:rPr>
      </w:pPr>
      <w:r>
        <w:rPr>
          <w:rFonts w:eastAsia="Times New Roman"/>
          <w:b/>
          <w:sz w:val="22"/>
          <w:szCs w:val="22"/>
        </w:rPr>
        <w:t>Laboratório de tecnologia pesqueira</w:t>
      </w:r>
    </w:p>
    <w:p w:rsidR="00762C45" w:rsidRDefault="00762C45">
      <w:pPr>
        <w:widowControl/>
        <w:tabs>
          <w:tab w:val="left" w:pos="284"/>
        </w:tabs>
        <w:suppressAutoHyphens w:val="0"/>
        <w:ind w:left="720"/>
        <w:jc w:val="both"/>
        <w:rPr>
          <w:rFonts w:eastAsia="Times New Roman"/>
          <w:sz w:val="14"/>
          <w:szCs w:val="14"/>
        </w:rPr>
      </w:pPr>
    </w:p>
    <w:p w:rsidR="00762C45" w:rsidRDefault="00303B66">
      <w:pPr>
        <w:widowControl/>
        <w:numPr>
          <w:ilvl w:val="0"/>
          <w:numId w:val="17"/>
        </w:numPr>
        <w:tabs>
          <w:tab w:val="left" w:pos="284"/>
        </w:tabs>
        <w:suppressAutoHyphens w:val="0"/>
        <w:jc w:val="both"/>
        <w:rPr>
          <w:rFonts w:eastAsia="Times New Roman"/>
          <w:sz w:val="22"/>
          <w:szCs w:val="22"/>
        </w:rPr>
      </w:pPr>
      <w:r>
        <w:rPr>
          <w:rFonts w:eastAsia="Times New Roman"/>
          <w:b/>
          <w:sz w:val="22"/>
          <w:szCs w:val="22"/>
        </w:rPr>
        <w:t>Laboratório de Ciência e Tecnologia do Pescado</w:t>
      </w:r>
    </w:p>
    <w:p w:rsidR="00762C45" w:rsidRDefault="00762C45">
      <w:pPr>
        <w:widowControl/>
        <w:tabs>
          <w:tab w:val="left" w:pos="284"/>
        </w:tabs>
        <w:suppressAutoHyphens w:val="0"/>
        <w:jc w:val="both"/>
        <w:rPr>
          <w:rFonts w:eastAsia="Times New Roman"/>
          <w:sz w:val="22"/>
          <w:szCs w:val="22"/>
          <w:shd w:val="clear" w:color="auto" w:fill="FF00FF"/>
        </w:rPr>
      </w:pPr>
    </w:p>
    <w:p w:rsidR="00762C45" w:rsidRDefault="00303B66">
      <w:pPr>
        <w:ind w:firstLine="709"/>
        <w:jc w:val="both"/>
        <w:rPr>
          <w:rFonts w:eastAsia="Times New Roman"/>
          <w:sz w:val="22"/>
          <w:szCs w:val="22"/>
        </w:rPr>
      </w:pPr>
      <w:r>
        <w:rPr>
          <w:rFonts w:eastAsia="Times New Roman"/>
          <w:sz w:val="22"/>
          <w:szCs w:val="22"/>
        </w:rPr>
        <w:t>O laboratório de Tecnologia do Pescado do CAV terá por finalidade o desenvolvimento de tecnologias inovadoras do processamento de peixes, crustáceos, moluscos e de aproveitamento de resíduos agroindustriais (cascas de</w:t>
      </w:r>
      <w:r>
        <w:rPr>
          <w:rFonts w:eastAsia="Times New Roman"/>
          <w:sz w:val="22"/>
          <w:szCs w:val="22"/>
          <w:shd w:val="clear" w:color="auto" w:fill="FFFFFF"/>
        </w:rPr>
        <w:t xml:space="preserve"> </w:t>
      </w:r>
      <w:r>
        <w:rPr>
          <w:rFonts w:eastAsia="Times New Roman"/>
          <w:sz w:val="22"/>
          <w:szCs w:val="22"/>
        </w:rPr>
        <w:t xml:space="preserve">crustáceos e moluscos, pele de pescados, óleo de pescado, águas industriais), além das atividades integradas em ensino, pesquisa e extensão. </w:t>
      </w:r>
    </w:p>
    <w:p w:rsidR="00762C45" w:rsidRDefault="00303B66">
      <w:pPr>
        <w:ind w:firstLine="709"/>
        <w:jc w:val="both"/>
        <w:rPr>
          <w:rFonts w:eastAsia="Times New Roman"/>
          <w:sz w:val="22"/>
          <w:szCs w:val="22"/>
        </w:rPr>
      </w:pPr>
      <w:r>
        <w:rPr>
          <w:rFonts w:eastAsia="Times New Roman"/>
          <w:sz w:val="22"/>
          <w:szCs w:val="22"/>
        </w:rPr>
        <w:t>Com área de 200 m², o laboratório terá que conter os seguintes equipamentos: Bomba dosadora de cloro 5L/hora 7 bar, Liquidificador/Triturador 8 Litros aço inox, Seladora pedal 40 cm bivolt, Autoclave digital de 21 litros (Etermax), Estufa com circulação e renovação de ar forçado  com capacidade de  252 Litros - 50º à 250ºC Bivolt, Embaladora a vácuo vertical pequena, Recravadeira de latas de bancadas, Freezer vertical de gavetas, capacidade de 500 L, Freezer horizontal 2 portas, capacidade de 500 L, Fogão industrial de 6 boca alta pressão, Coifa campana em inox 60CX bivolt inox eletrolux, Moedor De Carne Elétrico- Maquina De Biscoito/ Embutido 127v, Triturador orgânico TOG 2300 GARTHEN, Defumador/ desidratador em aço inox de 250 Lts (carga média - 45 kg) – DEFUMAX, Microondas com a capacidade de 30 litros, Rotulador eletrônico EPSON- LW 600P- Bluetooth e USB, Balança Digital Comercial 40kg Display Luminoso Bateria 100h, Balança digital de precisão de 0,01 g, capacidade 2kg, Máquina de Gelo BMGX50 BenMax Super Ice 50kg, Faca de cabo branco  tramontina média, Balde plástico com alça e tampa lacre de 22 L, Basquetas modelo P40 carga de 25 kg, 67 x 44 x 19 cm, Bandejas plásticas empilhável  6 x 40 x 60 cm, Mesa em aço inox 430-pés em inox 11/4 polegadas (1,80x 0,70x 0,40 m ), Mesa em aço inox 430-pés em inox 11/4 polegadas (1,80x 0,70 m ), Termometro digital infravermelho com mira a laser (-32 a 380°c), Placa de tecnil, Escorredor, Mangueira, Lixeira de pedal grande, Jaleco, Bota, 3-Material de produção, Bobina PVC 38cmx300mts c/ trilho, Embalagem de saco para vácuo 1kg (18x 28x0,18), Embalagem de saco para vácuo 500gr (18x 22x0,18), Etiquetas para rotulagem de poliestireno  de  24mm, Vidro em conserva 600 ml com tampa, Latas de alimentos retangulares de 250 gr, Luva de borracha. O laboratório deverá conter sala de estudos para alunos e estagiários com microcomputadores, impressora e acesso à internet.</w:t>
      </w:r>
    </w:p>
    <w:p w:rsidR="00762C45" w:rsidRDefault="00762C45">
      <w:pPr>
        <w:ind w:firstLine="709"/>
        <w:jc w:val="both"/>
        <w:rPr>
          <w:rFonts w:eastAsia="Times New Roman"/>
          <w:shd w:val="clear" w:color="auto" w:fill="FF00FF"/>
        </w:rPr>
      </w:pPr>
    </w:p>
    <w:p w:rsidR="00762C45" w:rsidRDefault="00303B66">
      <w:pPr>
        <w:widowControl/>
        <w:numPr>
          <w:ilvl w:val="0"/>
          <w:numId w:val="18"/>
        </w:numPr>
        <w:tabs>
          <w:tab w:val="left" w:pos="284"/>
        </w:tabs>
        <w:suppressAutoHyphens w:val="0"/>
        <w:jc w:val="both"/>
        <w:rPr>
          <w:rFonts w:eastAsia="Times New Roman"/>
        </w:rPr>
      </w:pPr>
      <w:r>
        <w:rPr>
          <w:rFonts w:eastAsia="Times New Roman"/>
          <w:b/>
        </w:rPr>
        <w:t>Laboratório de Aquicultura e Limnologia</w:t>
      </w:r>
    </w:p>
    <w:p w:rsidR="00762C45" w:rsidRDefault="00762C45">
      <w:pPr>
        <w:jc w:val="both"/>
        <w:rPr>
          <w:rFonts w:eastAsia="Times New Roman"/>
          <w:b/>
        </w:rPr>
      </w:pPr>
    </w:p>
    <w:p w:rsidR="00762C45" w:rsidRDefault="00303B66">
      <w:pPr>
        <w:pStyle w:val="Estilo3"/>
      </w:pPr>
      <w:bookmarkStart w:id="111" w:name="_Toc474391226"/>
      <w:r>
        <w:t>5.4.1 Infraestrutura Física</w:t>
      </w:r>
      <w:bookmarkEnd w:id="111"/>
      <w:r>
        <w:t xml:space="preserve"> </w:t>
      </w:r>
    </w:p>
    <w:p w:rsidR="00762C45" w:rsidRDefault="00762C45">
      <w:pPr>
        <w:pStyle w:val="Estilo3"/>
        <w:rPr>
          <w:color w:val="FF3333"/>
        </w:rPr>
      </w:pPr>
    </w:p>
    <w:p w:rsidR="00762C45" w:rsidRDefault="00303B66">
      <w:pPr>
        <w:ind w:firstLine="567"/>
        <w:jc w:val="both"/>
        <w:rPr>
          <w:rFonts w:eastAsia="Times New Roman"/>
          <w:sz w:val="22"/>
          <w:szCs w:val="22"/>
        </w:rPr>
      </w:pPr>
      <w:r>
        <w:rPr>
          <w:rFonts w:eastAsia="Times New Roman"/>
          <w:sz w:val="22"/>
          <w:szCs w:val="22"/>
        </w:rPr>
        <w:t>O Quadro 19 apresenta a infraestrutura atual e projeta para o triênio 2016-2018 bo tocante a laboratório, ambientes e cenários para as práticas didáticas</w:t>
      </w:r>
    </w:p>
    <w:p w:rsidR="00762C45" w:rsidRDefault="00762C45">
      <w:pPr>
        <w:ind w:firstLine="567"/>
        <w:jc w:val="both"/>
        <w:rPr>
          <w:rFonts w:eastAsia="Times New Roman"/>
          <w:sz w:val="22"/>
          <w:szCs w:val="22"/>
        </w:rPr>
      </w:pPr>
    </w:p>
    <w:p w:rsidR="00762C45" w:rsidRDefault="00303B66">
      <w:pPr>
        <w:pStyle w:val="Legenda"/>
        <w:keepNext/>
        <w:spacing w:before="0" w:after="0" w:line="240" w:lineRule="auto"/>
        <w:ind w:left="0"/>
      </w:pPr>
      <w:bookmarkStart w:id="112" w:name="_Toc474391127"/>
      <w:bookmarkStart w:id="113" w:name="_Toc472974297"/>
      <w:r>
        <w:rPr>
          <w:rFonts w:ascii="Times New Roman" w:hAnsi="Times New Roman" w:cs="Times New Roman"/>
          <w:b/>
          <w:i w:val="0"/>
          <w:sz w:val="20"/>
          <w:szCs w:val="20"/>
        </w:rPr>
        <w:lastRenderedPageBreak/>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19</w:t>
      </w:r>
      <w:r>
        <w:fldChar w:fldCharType="end"/>
      </w:r>
      <w:bookmarkEnd w:id="112"/>
      <w:bookmarkEnd w:id="113"/>
      <w:r>
        <w:rPr>
          <w:rFonts w:ascii="Times New Roman" w:hAnsi="Times New Roman" w:cs="Times New Roman"/>
          <w:b/>
          <w:i w:val="0"/>
          <w:sz w:val="20"/>
          <w:szCs w:val="20"/>
        </w:rPr>
        <w:t>. Infraestrutura de Laboratórios, ambientes e cenários para práticas didáticas</w:t>
      </w:r>
    </w:p>
    <w:tbl>
      <w:tblPr>
        <w:tblW w:w="8175" w:type="dxa"/>
        <w:tblInd w:w="296"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2" w:type="dxa"/>
        </w:tblCellMar>
        <w:tblLook w:val="04A0" w:firstRow="1" w:lastRow="0" w:firstColumn="1" w:lastColumn="0" w:noHBand="0" w:noVBand="1"/>
      </w:tblPr>
      <w:tblGrid>
        <w:gridCol w:w="3863"/>
        <w:gridCol w:w="490"/>
        <w:gridCol w:w="582"/>
        <w:gridCol w:w="489"/>
        <w:gridCol w:w="585"/>
        <w:gridCol w:w="489"/>
        <w:gridCol w:w="599"/>
        <w:gridCol w:w="489"/>
        <w:gridCol w:w="589"/>
      </w:tblGrid>
      <w:tr w:rsidR="00762C45">
        <w:tc>
          <w:tcPr>
            <w:tcW w:w="3865"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 xml:space="preserve">Descrição </w:t>
            </w:r>
          </w:p>
        </w:tc>
        <w:tc>
          <w:tcPr>
            <w:tcW w:w="1072"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Atual</w:t>
            </w:r>
          </w:p>
        </w:tc>
        <w:tc>
          <w:tcPr>
            <w:tcW w:w="1074"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2016</w:t>
            </w:r>
          </w:p>
        </w:tc>
        <w:tc>
          <w:tcPr>
            <w:tcW w:w="1088"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2017</w:t>
            </w:r>
          </w:p>
        </w:tc>
        <w:tc>
          <w:tcPr>
            <w:tcW w:w="1075" w:type="dxa"/>
            <w:gridSpan w:val="2"/>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2018</w:t>
            </w:r>
          </w:p>
        </w:tc>
      </w:tr>
      <w:tr w:rsidR="00762C45">
        <w:trPr>
          <w:trHeight w:val="1"/>
        </w:trPr>
        <w:tc>
          <w:tcPr>
            <w:tcW w:w="3865" w:type="dxa"/>
            <w:vMerge/>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762C45">
            <w:pPr>
              <w:spacing w:after="200"/>
              <w:rPr>
                <w:rFonts w:eastAsia="Calibri"/>
                <w:sz w:val="20"/>
                <w:szCs w:val="20"/>
              </w:rPr>
            </w:pPr>
          </w:p>
        </w:tc>
        <w:tc>
          <w:tcPr>
            <w:tcW w:w="490"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Und</w:t>
            </w:r>
          </w:p>
        </w:tc>
        <w:tc>
          <w:tcPr>
            <w:tcW w:w="58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m²</w:t>
            </w:r>
          </w:p>
        </w:tc>
        <w:tc>
          <w:tcPr>
            <w:tcW w:w="489"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Und</w:t>
            </w:r>
          </w:p>
        </w:tc>
        <w:tc>
          <w:tcPr>
            <w:tcW w:w="582"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m²</w:t>
            </w:r>
          </w:p>
        </w:tc>
        <w:tc>
          <w:tcPr>
            <w:tcW w:w="489"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Und</w:t>
            </w:r>
          </w:p>
        </w:tc>
        <w:tc>
          <w:tcPr>
            <w:tcW w:w="599"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m²</w:t>
            </w:r>
          </w:p>
        </w:tc>
        <w:tc>
          <w:tcPr>
            <w:tcW w:w="489"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Und</w:t>
            </w:r>
          </w:p>
        </w:tc>
        <w:tc>
          <w:tcPr>
            <w:tcW w:w="589"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rFonts w:eastAsia="Times New Roman"/>
                <w:b/>
                <w:sz w:val="20"/>
                <w:szCs w:val="20"/>
              </w:rPr>
              <w:t>m²</w:t>
            </w:r>
          </w:p>
        </w:tc>
      </w:tr>
      <w:tr w:rsidR="00762C45">
        <w:trPr>
          <w:trHeight w:val="1"/>
        </w:trPr>
        <w:tc>
          <w:tcPr>
            <w:tcW w:w="386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rFonts w:eastAsia="Calibri"/>
                <w:sz w:val="20"/>
                <w:szCs w:val="20"/>
              </w:rPr>
            </w:pPr>
            <w:r>
              <w:rPr>
                <w:rFonts w:eastAsia="Calibri"/>
                <w:sz w:val="20"/>
                <w:szCs w:val="20"/>
              </w:rPr>
              <w:t>Laboratório de tecnologia pesqueira</w:t>
            </w:r>
          </w:p>
        </w:tc>
        <w:tc>
          <w:tcPr>
            <w:tcW w:w="49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w:t>
            </w:r>
          </w:p>
        </w:tc>
        <w:tc>
          <w:tcPr>
            <w:tcW w:w="58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58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01</w:t>
            </w:r>
          </w:p>
        </w:tc>
        <w:tc>
          <w:tcPr>
            <w:tcW w:w="59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200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01</w:t>
            </w:r>
          </w:p>
        </w:tc>
        <w:tc>
          <w:tcPr>
            <w:tcW w:w="5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200</w:t>
            </w:r>
          </w:p>
        </w:tc>
      </w:tr>
      <w:tr w:rsidR="00762C45">
        <w:trPr>
          <w:trHeight w:val="1"/>
        </w:trPr>
        <w:tc>
          <w:tcPr>
            <w:tcW w:w="386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rFonts w:eastAsia="Calibri"/>
                <w:sz w:val="20"/>
                <w:szCs w:val="20"/>
              </w:rPr>
            </w:pPr>
            <w:r>
              <w:rPr>
                <w:rFonts w:eastAsia="Calibri"/>
                <w:sz w:val="20"/>
                <w:szCs w:val="20"/>
              </w:rPr>
              <w:t>Laboratório de ciência e tecnologia do pescado</w:t>
            </w:r>
          </w:p>
        </w:tc>
        <w:tc>
          <w:tcPr>
            <w:tcW w:w="49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58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58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01</w:t>
            </w:r>
          </w:p>
        </w:tc>
        <w:tc>
          <w:tcPr>
            <w:tcW w:w="59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200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01</w:t>
            </w:r>
          </w:p>
        </w:tc>
        <w:tc>
          <w:tcPr>
            <w:tcW w:w="5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200</w:t>
            </w:r>
          </w:p>
        </w:tc>
      </w:tr>
      <w:tr w:rsidR="00762C45">
        <w:trPr>
          <w:trHeight w:val="1"/>
        </w:trPr>
        <w:tc>
          <w:tcPr>
            <w:tcW w:w="386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rFonts w:eastAsia="Calibri"/>
                <w:sz w:val="20"/>
                <w:szCs w:val="20"/>
              </w:rPr>
            </w:pPr>
            <w:r>
              <w:rPr>
                <w:rFonts w:eastAsia="Calibri"/>
                <w:sz w:val="20"/>
                <w:szCs w:val="20"/>
              </w:rPr>
              <w:t>Laboratório de aquicultura e liminologia</w:t>
            </w:r>
          </w:p>
        </w:tc>
        <w:tc>
          <w:tcPr>
            <w:tcW w:w="49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58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58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01</w:t>
            </w:r>
          </w:p>
        </w:tc>
        <w:tc>
          <w:tcPr>
            <w:tcW w:w="59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200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01</w:t>
            </w:r>
          </w:p>
        </w:tc>
        <w:tc>
          <w:tcPr>
            <w:tcW w:w="5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200</w:t>
            </w:r>
          </w:p>
        </w:tc>
      </w:tr>
      <w:tr w:rsidR="00762C45">
        <w:trPr>
          <w:trHeight w:val="1"/>
        </w:trPr>
        <w:tc>
          <w:tcPr>
            <w:tcW w:w="3865"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rFonts w:eastAsia="Calibri"/>
                <w:sz w:val="20"/>
                <w:szCs w:val="20"/>
              </w:rPr>
            </w:pPr>
            <w:r>
              <w:rPr>
                <w:rFonts w:eastAsia="Calibri"/>
                <w:sz w:val="20"/>
                <w:szCs w:val="20"/>
              </w:rPr>
              <w:t>Tanques escavados para piscicultura</w:t>
            </w:r>
          </w:p>
        </w:tc>
        <w:tc>
          <w:tcPr>
            <w:tcW w:w="490"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58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58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jc w:val="center"/>
            </w:pPr>
            <w:r>
              <w:rPr>
                <w:rFonts w:eastAsia="Calibri"/>
                <w:sz w:val="20"/>
                <w:szCs w:val="20"/>
              </w:rPr>
              <w:t>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03</w:t>
            </w:r>
          </w:p>
        </w:tc>
        <w:tc>
          <w:tcPr>
            <w:tcW w:w="59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300</w:t>
            </w:r>
          </w:p>
        </w:tc>
        <w:tc>
          <w:tcPr>
            <w:tcW w:w="4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03</w:t>
            </w:r>
          </w:p>
        </w:tc>
        <w:tc>
          <w:tcPr>
            <w:tcW w:w="589"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rFonts w:eastAsia="Calibri"/>
                <w:sz w:val="20"/>
                <w:szCs w:val="20"/>
              </w:rPr>
            </w:pPr>
            <w:r>
              <w:rPr>
                <w:rFonts w:eastAsia="Calibri"/>
                <w:sz w:val="20"/>
                <w:szCs w:val="20"/>
              </w:rPr>
              <w:t>300</w:t>
            </w:r>
          </w:p>
        </w:tc>
      </w:tr>
    </w:tbl>
    <w:p w:rsidR="00762C45" w:rsidRDefault="00762C45">
      <w:pPr>
        <w:spacing w:line="276" w:lineRule="auto"/>
        <w:ind w:left="495" w:hanging="495"/>
        <w:jc w:val="both"/>
        <w:rPr>
          <w:b/>
          <w:bCs/>
          <w:sz w:val="22"/>
          <w:szCs w:val="22"/>
        </w:rPr>
      </w:pPr>
    </w:p>
    <w:p w:rsidR="00762C45" w:rsidRDefault="00303B66">
      <w:pPr>
        <w:pStyle w:val="Estilo3"/>
      </w:pPr>
      <w:bookmarkStart w:id="114" w:name="_Toc474391227"/>
      <w:r>
        <w:rPr>
          <w:bCs/>
        </w:rPr>
        <w:t xml:space="preserve">5.4.2 </w:t>
      </w:r>
      <w:r>
        <w:t>Serviços</w:t>
      </w:r>
      <w:bookmarkEnd w:id="114"/>
      <w:r>
        <w:t xml:space="preserve"> </w:t>
      </w:r>
    </w:p>
    <w:p w:rsidR="00762C45" w:rsidRDefault="00762C45">
      <w:pPr>
        <w:spacing w:line="276" w:lineRule="auto"/>
        <w:ind w:left="495" w:hanging="495"/>
        <w:jc w:val="both"/>
        <w:rPr>
          <w:b/>
          <w:bCs/>
          <w:sz w:val="22"/>
          <w:szCs w:val="22"/>
        </w:rPr>
      </w:pPr>
    </w:p>
    <w:p w:rsidR="00762C45" w:rsidRDefault="00303B66">
      <w:pPr>
        <w:pStyle w:val="Estilo20"/>
      </w:pPr>
      <w:bookmarkStart w:id="115" w:name="_Toc474391228"/>
      <w:r>
        <w:t>5.5 Plano de Promoção de Acessibilidade</w:t>
      </w:r>
      <w:bookmarkEnd w:id="115"/>
      <w:r>
        <w:t xml:space="preserve"> </w:t>
      </w:r>
    </w:p>
    <w:p w:rsidR="00762C45" w:rsidRDefault="00762C45">
      <w:pPr>
        <w:widowControl/>
        <w:suppressAutoHyphens w:val="0"/>
        <w:ind w:firstLine="567"/>
        <w:jc w:val="both"/>
        <w:rPr>
          <w:rFonts w:eastAsia="Times New Roman"/>
          <w:sz w:val="22"/>
          <w:szCs w:val="22"/>
        </w:rPr>
      </w:pPr>
    </w:p>
    <w:p w:rsidR="00762C45" w:rsidRDefault="00303B66">
      <w:pPr>
        <w:widowControl/>
        <w:suppressAutoHyphens w:val="0"/>
        <w:ind w:firstLine="567"/>
        <w:jc w:val="both"/>
        <w:rPr>
          <w:rFonts w:eastAsia="Times New Roman"/>
          <w:sz w:val="22"/>
          <w:szCs w:val="22"/>
        </w:rPr>
      </w:pPr>
      <w:r>
        <w:rPr>
          <w:rFonts w:eastAsia="Times New Roman"/>
          <w:sz w:val="22"/>
          <w:szCs w:val="22"/>
        </w:rPr>
        <w:t xml:space="preserve">Conforme estabelece o Decreto 5296/2004, o </w:t>
      </w:r>
      <w:r>
        <w:rPr>
          <w:rFonts w:eastAsia="Times New Roman"/>
          <w:i/>
          <w:sz w:val="22"/>
          <w:szCs w:val="22"/>
        </w:rPr>
        <w:t>Campus</w:t>
      </w:r>
      <w:r>
        <w:rPr>
          <w:rFonts w:eastAsia="Times New Roman"/>
          <w:sz w:val="22"/>
          <w:szCs w:val="22"/>
        </w:rPr>
        <w:t xml:space="preserve"> Avançado Vigia, conta com um espaço físico que concerne à promoção da acessibilidade das pessoas com deficiência ou com mobilidade reduzida, incluindo o bloco pedagógico com rampas e banheiros adaptados, </w:t>
      </w:r>
    </w:p>
    <w:p w:rsidR="00762C45" w:rsidRDefault="00303B66">
      <w:pPr>
        <w:widowControl/>
        <w:suppressAutoHyphens w:val="0"/>
        <w:ind w:firstLine="567"/>
        <w:jc w:val="both"/>
        <w:rPr>
          <w:rFonts w:ascii="Arial" w:eastAsia="Times New Roman" w:hAnsi="Arial" w:cs="Arial"/>
          <w:sz w:val="28"/>
          <w:szCs w:val="28"/>
        </w:rPr>
      </w:pPr>
      <w:r>
        <w:rPr>
          <w:rFonts w:eastAsia="Times New Roman"/>
          <w:sz w:val="22"/>
          <w:szCs w:val="22"/>
        </w:rPr>
        <w:t>Para 2017-2018 projeta-se a colocação de corrimão, piso tátil para pessoas deficientes visuais e comunicação visual em braile. O Quadro 20 apresenta a situação atual e projetada para o triênio 2016-2018 com relação a acessibilidade.</w:t>
      </w:r>
    </w:p>
    <w:p w:rsidR="00762C45" w:rsidRDefault="00762C45">
      <w:pPr>
        <w:spacing w:line="276" w:lineRule="auto"/>
        <w:ind w:left="567"/>
        <w:jc w:val="both"/>
        <w:rPr>
          <w:rFonts w:ascii="Arial" w:hAnsi="Arial" w:cs="Arial"/>
        </w:rPr>
      </w:pPr>
    </w:p>
    <w:p w:rsidR="00762C45" w:rsidRDefault="00303B66">
      <w:pPr>
        <w:pStyle w:val="Legenda"/>
        <w:keepNext/>
        <w:spacing w:before="0" w:after="0" w:line="240" w:lineRule="auto"/>
        <w:ind w:left="0" w:firstLine="0"/>
        <w:jc w:val="center"/>
      </w:pPr>
      <w:bookmarkStart w:id="116" w:name="_Toc474391128"/>
      <w:bookmarkStart w:id="117" w:name="_Toc472974298"/>
      <w:r>
        <w:rPr>
          <w:rFonts w:ascii="Times New Roman" w:hAnsi="Times New Roman" w:cs="Times New Roman"/>
          <w:b/>
          <w:i w:val="0"/>
          <w:sz w:val="20"/>
          <w:szCs w:val="20"/>
        </w:rPr>
        <w:t xml:space="preserve">Quadro </w:t>
      </w:r>
      <w:r>
        <w:rPr>
          <w:rFonts w:ascii="Times New Roman" w:hAnsi="Times New Roman" w:cs="Times New Roman"/>
          <w:b/>
          <w:i w:val="0"/>
          <w:sz w:val="20"/>
          <w:szCs w:val="20"/>
        </w:rPr>
        <w:fldChar w:fldCharType="begin"/>
      </w:r>
      <w:r>
        <w:instrText>SEQ Quadro \* ARABIC</w:instrText>
      </w:r>
      <w:r>
        <w:fldChar w:fldCharType="separate"/>
      </w:r>
      <w:r>
        <w:rPr>
          <w:noProof/>
        </w:rPr>
        <w:t>20</w:t>
      </w:r>
      <w:r>
        <w:fldChar w:fldCharType="end"/>
      </w:r>
      <w:bookmarkEnd w:id="116"/>
      <w:bookmarkEnd w:id="117"/>
      <w:r>
        <w:rPr>
          <w:rFonts w:ascii="Times New Roman" w:hAnsi="Times New Roman" w:cs="Times New Roman"/>
          <w:b/>
          <w:i w:val="0"/>
          <w:sz w:val="20"/>
          <w:szCs w:val="20"/>
        </w:rPr>
        <w:t>. Infraestrutura atual de acessibilidade do CAV e expansão para o triênio 2016-2018</w:t>
      </w:r>
    </w:p>
    <w:tbl>
      <w:tblPr>
        <w:tblW w:w="8838" w:type="dxa"/>
        <w:jc w:val="center"/>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2" w:type="dxa"/>
          <w:right w:w="10" w:type="dxa"/>
        </w:tblCellMar>
        <w:tblLook w:val="04A0" w:firstRow="1" w:lastRow="0" w:firstColumn="1" w:lastColumn="0" w:noHBand="0" w:noVBand="1"/>
      </w:tblPr>
      <w:tblGrid>
        <w:gridCol w:w="3644"/>
        <w:gridCol w:w="631"/>
        <w:gridCol w:w="634"/>
        <w:gridCol w:w="634"/>
        <w:gridCol w:w="633"/>
        <w:gridCol w:w="2662"/>
      </w:tblGrid>
      <w:tr w:rsidR="00762C45">
        <w:trPr>
          <w:trHeight w:val="405"/>
          <w:jc w:val="center"/>
        </w:trPr>
        <w:tc>
          <w:tcPr>
            <w:tcW w:w="3643"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303B66">
            <w:pPr>
              <w:spacing w:before="480" w:after="120" w:line="276" w:lineRule="auto"/>
              <w:jc w:val="center"/>
              <w:rPr>
                <w:sz w:val="20"/>
                <w:szCs w:val="20"/>
              </w:rPr>
            </w:pPr>
            <w:r>
              <w:rPr>
                <w:b/>
                <w:bCs/>
                <w:sz w:val="20"/>
                <w:szCs w:val="20"/>
              </w:rPr>
              <w:t>Descrição de itens de acessibilidade</w:t>
            </w:r>
          </w:p>
        </w:tc>
        <w:tc>
          <w:tcPr>
            <w:tcW w:w="2532" w:type="dxa"/>
            <w:gridSpan w:val="4"/>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 xml:space="preserve">Quantidade </w:t>
            </w:r>
          </w:p>
        </w:tc>
        <w:tc>
          <w:tcPr>
            <w:tcW w:w="2662" w:type="dxa"/>
            <w:vMerge w:val="restart"/>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762C45">
            <w:pPr>
              <w:spacing w:line="276" w:lineRule="auto"/>
              <w:jc w:val="center"/>
              <w:rPr>
                <w:b/>
                <w:bCs/>
                <w:sz w:val="20"/>
                <w:szCs w:val="20"/>
              </w:rPr>
            </w:pPr>
          </w:p>
          <w:p w:rsidR="00762C45" w:rsidRDefault="00303B66">
            <w:pPr>
              <w:spacing w:line="276" w:lineRule="auto"/>
              <w:jc w:val="center"/>
              <w:rPr>
                <w:sz w:val="20"/>
                <w:szCs w:val="20"/>
              </w:rPr>
            </w:pPr>
            <w:r>
              <w:rPr>
                <w:b/>
                <w:bCs/>
                <w:sz w:val="20"/>
                <w:szCs w:val="20"/>
              </w:rPr>
              <w:t>Barreiras existentes</w:t>
            </w:r>
          </w:p>
        </w:tc>
      </w:tr>
      <w:tr w:rsidR="00762C45">
        <w:trPr>
          <w:trHeight w:val="266"/>
          <w:jc w:val="center"/>
        </w:trPr>
        <w:tc>
          <w:tcPr>
            <w:tcW w:w="3643" w:type="dxa"/>
            <w:vMerge/>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762C45">
            <w:pPr>
              <w:spacing w:line="276" w:lineRule="auto"/>
              <w:jc w:val="both"/>
              <w:rPr>
                <w:sz w:val="20"/>
                <w:szCs w:val="20"/>
              </w:rPr>
            </w:pPr>
          </w:p>
        </w:tc>
        <w:tc>
          <w:tcPr>
            <w:tcW w:w="631"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Atual</w:t>
            </w:r>
          </w:p>
        </w:tc>
        <w:tc>
          <w:tcPr>
            <w:tcW w:w="634"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2016</w:t>
            </w:r>
          </w:p>
        </w:tc>
        <w:tc>
          <w:tcPr>
            <w:tcW w:w="634"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2017</w:t>
            </w:r>
          </w:p>
        </w:tc>
        <w:tc>
          <w:tcPr>
            <w:tcW w:w="633" w:type="dxa"/>
            <w:tcBorders>
              <w:top w:val="single" w:sz="2" w:space="0" w:color="000001"/>
              <w:left w:val="single" w:sz="2" w:space="0" w:color="000001"/>
              <w:bottom w:val="single" w:sz="2" w:space="0" w:color="000001"/>
              <w:right w:val="single" w:sz="2" w:space="0" w:color="000001"/>
            </w:tcBorders>
            <w:shd w:val="clear" w:color="auto" w:fill="92D050"/>
            <w:tcMar>
              <w:left w:w="-2" w:type="dxa"/>
            </w:tcMar>
            <w:vAlign w:val="center"/>
          </w:tcPr>
          <w:p w:rsidR="00762C45" w:rsidRDefault="00303B66">
            <w:pPr>
              <w:spacing w:line="276" w:lineRule="auto"/>
              <w:jc w:val="center"/>
              <w:rPr>
                <w:sz w:val="20"/>
                <w:szCs w:val="20"/>
              </w:rPr>
            </w:pPr>
            <w:r>
              <w:rPr>
                <w:b/>
                <w:bCs/>
                <w:sz w:val="20"/>
                <w:szCs w:val="20"/>
              </w:rPr>
              <w:t>2018</w:t>
            </w:r>
          </w:p>
        </w:tc>
        <w:tc>
          <w:tcPr>
            <w:tcW w:w="2662" w:type="dxa"/>
            <w:vMerge/>
            <w:tcBorders>
              <w:top w:val="single" w:sz="2" w:space="0" w:color="000001"/>
              <w:left w:val="single" w:sz="2" w:space="0" w:color="000001"/>
              <w:bottom w:val="single" w:sz="2" w:space="0" w:color="000001"/>
              <w:right w:val="single" w:sz="2" w:space="0" w:color="000001"/>
            </w:tcBorders>
            <w:shd w:val="clear" w:color="auto" w:fill="92D050"/>
            <w:tcMar>
              <w:left w:w="-2" w:type="dxa"/>
            </w:tcMar>
          </w:tcPr>
          <w:p w:rsidR="00762C45" w:rsidRDefault="00762C45">
            <w:pPr>
              <w:spacing w:line="276" w:lineRule="auto"/>
              <w:jc w:val="both"/>
              <w:rPr>
                <w:sz w:val="20"/>
                <w:szCs w:val="20"/>
              </w:rPr>
            </w:pPr>
          </w:p>
        </w:tc>
      </w:tr>
      <w:tr w:rsidR="00762C45">
        <w:trPr>
          <w:trHeight w:val="1"/>
          <w:jc w:val="center"/>
        </w:trPr>
        <w:tc>
          <w:tcPr>
            <w:tcW w:w="3643"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Elevador</w:t>
            </w:r>
          </w:p>
        </w:tc>
        <w:tc>
          <w:tcPr>
            <w:tcW w:w="63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266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762C45">
            <w:pPr>
              <w:spacing w:line="276" w:lineRule="auto"/>
              <w:jc w:val="center"/>
              <w:rPr>
                <w:color w:val="000000"/>
                <w:sz w:val="20"/>
                <w:szCs w:val="20"/>
              </w:rPr>
            </w:pPr>
          </w:p>
        </w:tc>
      </w:tr>
      <w:tr w:rsidR="00762C45">
        <w:trPr>
          <w:trHeight w:val="1"/>
          <w:jc w:val="center"/>
        </w:trPr>
        <w:tc>
          <w:tcPr>
            <w:tcW w:w="3643"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Piso tátil</w:t>
            </w:r>
          </w:p>
        </w:tc>
        <w:tc>
          <w:tcPr>
            <w:tcW w:w="63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4</w:t>
            </w:r>
          </w:p>
        </w:tc>
        <w:tc>
          <w:tcPr>
            <w:tcW w:w="266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762C45">
            <w:pPr>
              <w:spacing w:line="276" w:lineRule="auto"/>
              <w:jc w:val="center"/>
              <w:rPr>
                <w:color w:val="000000"/>
                <w:sz w:val="20"/>
                <w:szCs w:val="20"/>
              </w:rPr>
            </w:pPr>
          </w:p>
        </w:tc>
      </w:tr>
      <w:tr w:rsidR="00762C45">
        <w:trPr>
          <w:trHeight w:val="1"/>
          <w:jc w:val="center"/>
        </w:trPr>
        <w:tc>
          <w:tcPr>
            <w:tcW w:w="3643"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Corrimão</w:t>
            </w:r>
          </w:p>
        </w:tc>
        <w:tc>
          <w:tcPr>
            <w:tcW w:w="63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4</w:t>
            </w:r>
          </w:p>
        </w:tc>
        <w:tc>
          <w:tcPr>
            <w:tcW w:w="266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762C45">
            <w:pPr>
              <w:spacing w:line="276" w:lineRule="auto"/>
              <w:jc w:val="center"/>
              <w:rPr>
                <w:color w:val="000000"/>
                <w:sz w:val="20"/>
                <w:szCs w:val="20"/>
              </w:rPr>
            </w:pPr>
          </w:p>
        </w:tc>
      </w:tr>
      <w:tr w:rsidR="00762C45">
        <w:trPr>
          <w:trHeight w:val="1"/>
          <w:jc w:val="center"/>
        </w:trPr>
        <w:tc>
          <w:tcPr>
            <w:tcW w:w="3643"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Comunicação visual em braile</w:t>
            </w:r>
          </w:p>
        </w:tc>
        <w:tc>
          <w:tcPr>
            <w:tcW w:w="63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0</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0</w:t>
            </w:r>
          </w:p>
        </w:tc>
        <w:tc>
          <w:tcPr>
            <w:tcW w:w="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10</w:t>
            </w:r>
          </w:p>
        </w:tc>
        <w:tc>
          <w:tcPr>
            <w:tcW w:w="266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762C45">
            <w:pPr>
              <w:spacing w:line="276" w:lineRule="auto"/>
              <w:jc w:val="center"/>
              <w:rPr>
                <w:color w:val="000000"/>
                <w:sz w:val="20"/>
                <w:szCs w:val="20"/>
              </w:rPr>
            </w:pPr>
          </w:p>
        </w:tc>
      </w:tr>
      <w:tr w:rsidR="00762C45">
        <w:trPr>
          <w:trHeight w:val="1"/>
          <w:jc w:val="center"/>
        </w:trPr>
        <w:tc>
          <w:tcPr>
            <w:tcW w:w="3643" w:type="dxa"/>
            <w:tcBorders>
              <w:top w:val="single" w:sz="2" w:space="0" w:color="000001"/>
              <w:left w:val="single" w:sz="2" w:space="0" w:color="000001"/>
              <w:bottom w:val="single" w:sz="2" w:space="0" w:color="000001"/>
              <w:right w:val="single" w:sz="2" w:space="0" w:color="000001"/>
            </w:tcBorders>
            <w:shd w:val="clear" w:color="auto" w:fill="FFFFFF"/>
            <w:tcMar>
              <w:left w:w="-2" w:type="dxa"/>
            </w:tcMar>
            <w:vAlign w:val="center"/>
          </w:tcPr>
          <w:p w:rsidR="00762C45" w:rsidRDefault="00303B66">
            <w:pPr>
              <w:spacing w:line="276" w:lineRule="auto"/>
              <w:rPr>
                <w:sz w:val="20"/>
                <w:szCs w:val="20"/>
              </w:rPr>
            </w:pPr>
            <w:r>
              <w:rPr>
                <w:sz w:val="20"/>
                <w:szCs w:val="20"/>
              </w:rPr>
              <w:t>Rampas de acesso</w:t>
            </w:r>
          </w:p>
        </w:tc>
        <w:tc>
          <w:tcPr>
            <w:tcW w:w="631"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keepNext/>
              <w:spacing w:line="276" w:lineRule="auto"/>
              <w:jc w:val="center"/>
              <w:rPr>
                <w:sz w:val="20"/>
                <w:szCs w:val="20"/>
              </w:rPr>
            </w:pPr>
            <w:r>
              <w:rPr>
                <w:color w:val="000000"/>
                <w:sz w:val="20"/>
                <w:szCs w:val="20"/>
              </w:rPr>
              <w:t>2</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c>
          <w:tcPr>
            <w:tcW w:w="634"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c>
          <w:tcPr>
            <w:tcW w:w="633"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303B66">
            <w:pPr>
              <w:spacing w:line="276" w:lineRule="auto"/>
              <w:jc w:val="center"/>
              <w:rPr>
                <w:color w:val="000000"/>
                <w:sz w:val="20"/>
                <w:szCs w:val="20"/>
              </w:rPr>
            </w:pPr>
            <w:r>
              <w:rPr>
                <w:color w:val="000000"/>
                <w:sz w:val="20"/>
                <w:szCs w:val="20"/>
              </w:rPr>
              <w:t>2</w:t>
            </w:r>
          </w:p>
        </w:tc>
        <w:tc>
          <w:tcPr>
            <w:tcW w:w="2662" w:type="dxa"/>
            <w:tcBorders>
              <w:top w:val="single" w:sz="2" w:space="0" w:color="000001"/>
              <w:left w:val="single" w:sz="2" w:space="0" w:color="000001"/>
              <w:bottom w:val="single" w:sz="2" w:space="0" w:color="000001"/>
              <w:right w:val="single" w:sz="2" w:space="0" w:color="000001"/>
            </w:tcBorders>
            <w:shd w:val="clear" w:color="auto" w:fill="FFFFFF"/>
            <w:tcMar>
              <w:left w:w="-2" w:type="dxa"/>
            </w:tcMar>
          </w:tcPr>
          <w:p w:rsidR="00762C45" w:rsidRDefault="00762C45">
            <w:pPr>
              <w:spacing w:line="276" w:lineRule="auto"/>
              <w:jc w:val="center"/>
              <w:rPr>
                <w:color w:val="000000"/>
                <w:sz w:val="20"/>
                <w:szCs w:val="20"/>
              </w:rPr>
            </w:pPr>
          </w:p>
        </w:tc>
      </w:tr>
    </w:tbl>
    <w:p w:rsidR="00762C45" w:rsidRDefault="00303B66">
      <w:pPr>
        <w:spacing w:line="276" w:lineRule="auto"/>
        <w:jc w:val="both"/>
        <w:rPr>
          <w:b/>
          <w:bCs/>
        </w:rPr>
      </w:pPr>
      <w:r>
        <w:rPr>
          <w:b/>
          <w:bCs/>
        </w:rPr>
        <w:t xml:space="preserve"> </w:t>
      </w:r>
    </w:p>
    <w:p w:rsidR="00762C45" w:rsidRDefault="00762C45">
      <w:pPr>
        <w:spacing w:line="276" w:lineRule="auto"/>
        <w:jc w:val="both"/>
        <w:rPr>
          <w:b/>
          <w:bCs/>
        </w:rPr>
      </w:pPr>
    </w:p>
    <w:p w:rsidR="00762C45" w:rsidRDefault="00762C45">
      <w:pPr>
        <w:pStyle w:val="Estilo20"/>
      </w:pPr>
    </w:p>
    <w:sectPr w:rsidR="00762C45">
      <w:headerReference w:type="default" r:id="rId33"/>
      <w:pgSz w:w="11906" w:h="16838"/>
      <w:pgMar w:top="1440" w:right="1080" w:bottom="1440" w:left="1080" w:header="709"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0DC" w:rsidRDefault="007030DC">
      <w:r>
        <w:separator/>
      </w:r>
    </w:p>
  </w:endnote>
  <w:endnote w:type="continuationSeparator" w:id="0">
    <w:p w:rsidR="007030DC" w:rsidRDefault="0070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1"/>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DejaVu Sans">
    <w:panose1 w:val="020B0603030804020204"/>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0DC" w:rsidRDefault="007030DC"/>
  </w:footnote>
  <w:footnote w:type="continuationSeparator" w:id="0">
    <w:p w:rsidR="007030DC" w:rsidRDefault="007030DC">
      <w:r>
        <w:continuationSeparator/>
      </w:r>
    </w:p>
  </w:footnote>
  <w:footnote w:id="1">
    <w:p w:rsidR="00303B66" w:rsidRDefault="00303B66">
      <w:pPr>
        <w:widowControl/>
        <w:suppressAutoHyphens w:val="0"/>
        <w:jc w:val="both"/>
        <w:rPr>
          <w:rFonts w:eastAsia="Times New Roman"/>
          <w:sz w:val="18"/>
          <w:szCs w:val="18"/>
        </w:rPr>
      </w:pPr>
      <w:r>
        <w:rPr>
          <w:rStyle w:val="Refdenotaderodap"/>
          <w:sz w:val="18"/>
          <w:szCs w:val="18"/>
        </w:rPr>
        <w:footnoteRef/>
      </w:r>
      <w:r>
        <w:rPr>
          <w:rStyle w:val="Refdenotaderodap"/>
          <w:sz w:val="18"/>
          <w:szCs w:val="18"/>
        </w:rPr>
        <w:tab/>
      </w:r>
      <w:r>
        <w:rPr>
          <w:sz w:val="18"/>
          <w:szCs w:val="18"/>
        </w:rPr>
        <w:t xml:space="preserve"> MEC. </w:t>
      </w:r>
      <w:r>
        <w:rPr>
          <w:rFonts w:eastAsia="Times New Roman"/>
          <w:sz w:val="18"/>
          <w:szCs w:val="18"/>
        </w:rPr>
        <w:t xml:space="preserve">AVALIAÇÃO EXTERNA DE INSTITUIÇÕES DE EDUCAÇÃO SUPERIOR Diretrizes e Instrumento. </w:t>
      </w:r>
      <w:hyperlink r:id="rId1">
        <w:r>
          <w:rPr>
            <w:rStyle w:val="LinkdaInternet"/>
            <w:rFonts w:eastAsia="Times New Roman"/>
            <w:vanish/>
            <w:webHidden/>
            <w:sz w:val="18"/>
            <w:szCs w:val="18"/>
          </w:rPr>
          <w:t>https://www.ufpe.br/ctg/images/avaliacaoexterna.pdf</w:t>
        </w:r>
      </w:hyperlink>
      <w:r>
        <w:rPr>
          <w:rFonts w:eastAsia="Times New Roman"/>
          <w:sz w:val="18"/>
          <w:szCs w:val="18"/>
        </w:rPr>
        <w:t>. Acessado em 07/10/2016 às 21:24.</w:t>
      </w:r>
    </w:p>
    <w:p w:rsidR="00303B66" w:rsidRDefault="00303B66">
      <w:pPr>
        <w:pStyle w:val="Textodenotaderodap"/>
      </w:pPr>
    </w:p>
  </w:footnote>
  <w:footnote w:id="2">
    <w:p w:rsidR="00303B66" w:rsidRDefault="00303B66">
      <w:pPr>
        <w:pStyle w:val="Textodenotaderodap"/>
        <w:jc w:val="both"/>
      </w:pPr>
      <w:r>
        <w:rPr>
          <w:rStyle w:val="Refdenotaderodap"/>
          <w:sz w:val="18"/>
          <w:szCs w:val="18"/>
        </w:rPr>
        <w:footnoteRef/>
      </w:r>
      <w:r>
        <w:rPr>
          <w:rStyle w:val="Refdenotaderodap"/>
          <w:sz w:val="18"/>
          <w:szCs w:val="18"/>
        </w:rPr>
        <w:tab/>
      </w:r>
      <w:hyperlink r:id="rId2">
        <w:r>
          <w:rPr>
            <w:rStyle w:val="LinkdaInternet"/>
            <w:vanish/>
            <w:webHidden/>
            <w:sz w:val="18"/>
            <w:szCs w:val="18"/>
          </w:rPr>
          <w:t>http://www.inf.ufsc.br/~vera.carmo/Ensino_2013_2/Instrumento_Coleta_Dados_Pesquisas_Educacionais.pdf</w:t>
        </w:r>
      </w:hyperlink>
      <w:r>
        <w:rPr>
          <w:sz w:val="18"/>
          <w:szCs w:val="18"/>
        </w:rPr>
        <w:t>. Visualizado em 07/10/2016 às 21:10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1060446415"/>
      <w:docPartObj>
        <w:docPartGallery w:val="Page Numbers (Top of Page)"/>
        <w:docPartUnique/>
      </w:docPartObj>
    </w:sdtPr>
    <w:sdtContent>
      <w:p w:rsidR="00303B66" w:rsidRDefault="00303B66">
        <w:pPr>
          <w:pStyle w:val="Cabealho"/>
          <w:jc w:val="right"/>
        </w:pPr>
        <w:r>
          <w:fldChar w:fldCharType="begin"/>
        </w:r>
        <w:r>
          <w:instrText>PAGE</w:instrText>
        </w:r>
        <w:r>
          <w:fldChar w:fldCharType="separate"/>
        </w:r>
        <w:r w:rsidR="00677502">
          <w:rPr>
            <w:noProof/>
          </w:rPr>
          <w:t>16</w:t>
        </w:r>
        <w:r>
          <w:fldChar w:fldCharType="end"/>
        </w:r>
      </w:p>
      <w:p w:rsidR="00303B66" w:rsidRDefault="00303B66">
        <w:pPr>
          <w:ind w:right="-70"/>
          <w:jc w:val="center"/>
          <w:rPr>
            <w:rFonts w:eastAsia="Times New Roman"/>
            <w:b/>
            <w:bCs/>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892660"/>
      <w:docPartObj>
        <w:docPartGallery w:val="Page Numbers (Top of Page)"/>
        <w:docPartUnique/>
      </w:docPartObj>
    </w:sdtPr>
    <w:sdtContent>
      <w:p w:rsidR="00303B66" w:rsidRDefault="00303B66">
        <w:pPr>
          <w:pStyle w:val="Cabealho"/>
          <w:jc w:val="right"/>
        </w:pPr>
        <w:r>
          <w:fldChar w:fldCharType="begin"/>
        </w:r>
        <w:r>
          <w:instrText>PAGE</w:instrText>
        </w:r>
        <w:r>
          <w:fldChar w:fldCharType="separate"/>
        </w:r>
        <w:r w:rsidR="00677502">
          <w:rPr>
            <w:noProof/>
          </w:rPr>
          <w:t>23</w:t>
        </w:r>
        <w:r>
          <w:fldChar w:fldCharType="end"/>
        </w:r>
      </w:p>
      <w:p w:rsidR="00303B66" w:rsidRDefault="00303B66">
        <w:pPr>
          <w:pStyle w:val="Cabealho"/>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428565"/>
      <w:docPartObj>
        <w:docPartGallery w:val="Page Numbers (Top of Page)"/>
        <w:docPartUnique/>
      </w:docPartObj>
    </w:sdtPr>
    <w:sdtContent>
      <w:p w:rsidR="00303B66" w:rsidRDefault="00303B66">
        <w:pPr>
          <w:pStyle w:val="Cabealho"/>
          <w:jc w:val="right"/>
        </w:pPr>
        <w:r>
          <w:fldChar w:fldCharType="begin"/>
        </w:r>
        <w:r>
          <w:instrText>PAGE</w:instrText>
        </w:r>
        <w:r>
          <w:fldChar w:fldCharType="separate"/>
        </w:r>
        <w:r w:rsidR="00677502">
          <w:rPr>
            <w:noProof/>
          </w:rPr>
          <w:t>39</w:t>
        </w:r>
        <w:r>
          <w:fldChar w:fldCharType="end"/>
        </w:r>
      </w:p>
      <w:p w:rsidR="00303B66" w:rsidRDefault="00303B66">
        <w:pPr>
          <w:pStyle w:val="Cabealho"/>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1162053520"/>
      <w:docPartObj>
        <w:docPartGallery w:val="Page Numbers (Top of Page)"/>
        <w:docPartUnique/>
      </w:docPartObj>
    </w:sdtPr>
    <w:sdtContent>
      <w:p w:rsidR="00303B66" w:rsidRDefault="00303B66">
        <w:pPr>
          <w:pStyle w:val="Cabealho"/>
          <w:jc w:val="right"/>
        </w:pPr>
        <w:r>
          <w:fldChar w:fldCharType="begin"/>
        </w:r>
        <w:r>
          <w:instrText>PAGE</w:instrText>
        </w:r>
        <w:r>
          <w:fldChar w:fldCharType="separate"/>
        </w:r>
        <w:r w:rsidR="00677502">
          <w:rPr>
            <w:noProof/>
          </w:rPr>
          <w:t>40</w:t>
        </w:r>
        <w:r>
          <w:fldChar w:fldCharType="end"/>
        </w:r>
      </w:p>
      <w:p w:rsidR="00303B66" w:rsidRDefault="00303B66">
        <w:pPr>
          <w:pStyle w:val="Cabealho"/>
        </w:pPr>
      </w:p>
      <w:p w:rsidR="00303B66" w:rsidRDefault="00303B66"/>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275539"/>
      <w:docPartObj>
        <w:docPartGallery w:val="Page Numbers (Top of Page)"/>
        <w:docPartUnique/>
      </w:docPartObj>
    </w:sdtPr>
    <w:sdtContent>
      <w:p w:rsidR="00303B66" w:rsidRDefault="00303B66">
        <w:pPr>
          <w:pStyle w:val="Cabealho"/>
          <w:jc w:val="right"/>
        </w:pPr>
        <w:r>
          <w:fldChar w:fldCharType="begin"/>
        </w:r>
        <w:r>
          <w:instrText>PAGE</w:instrText>
        </w:r>
        <w:r>
          <w:fldChar w:fldCharType="separate"/>
        </w:r>
        <w:r w:rsidR="00677502">
          <w:rPr>
            <w:noProof/>
          </w:rPr>
          <w:t>41</w:t>
        </w:r>
        <w:r>
          <w:fldChar w:fldCharType="end"/>
        </w:r>
      </w:p>
      <w:p w:rsidR="00303B66" w:rsidRDefault="00303B66">
        <w:pPr>
          <w:pStyle w:val="Cabealho"/>
        </w:pP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463618"/>
      <w:docPartObj>
        <w:docPartGallery w:val="Page Numbers (Top of Page)"/>
        <w:docPartUnique/>
      </w:docPartObj>
    </w:sdtPr>
    <w:sdtContent>
      <w:p w:rsidR="00303B66" w:rsidRDefault="00303B66">
        <w:pPr>
          <w:pStyle w:val="Cabealho"/>
          <w:jc w:val="right"/>
        </w:pPr>
        <w:r>
          <w:fldChar w:fldCharType="begin"/>
        </w:r>
        <w:r>
          <w:instrText>PAGE</w:instrText>
        </w:r>
        <w:r>
          <w:fldChar w:fldCharType="separate"/>
        </w:r>
        <w:r w:rsidR="00677502">
          <w:rPr>
            <w:noProof/>
          </w:rPr>
          <w:t>51</w:t>
        </w:r>
        <w:r>
          <w:fldChar w:fldCharType="end"/>
        </w:r>
      </w:p>
      <w:p w:rsidR="00303B66" w:rsidRDefault="00303B66">
        <w:pPr>
          <w:pStyle w:val="Cabealho"/>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B3158"/>
    <w:multiLevelType w:val="multilevel"/>
    <w:tmpl w:val="9912D660"/>
    <w:lvl w:ilvl="0">
      <w:start w:val="1"/>
      <w:numFmt w:val="bullet"/>
      <w:lvlText w:val=""/>
      <w:lvlJc w:val="left"/>
      <w:pPr>
        <w:ind w:left="720" w:hanging="360"/>
      </w:pPr>
      <w:rPr>
        <w:rFonts w:ascii="Wingdings" w:hAnsi="Wingdings" w:cs="Wingding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1874998"/>
    <w:multiLevelType w:val="multilevel"/>
    <w:tmpl w:val="3594F65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061A441C"/>
    <w:multiLevelType w:val="multilevel"/>
    <w:tmpl w:val="3F1213E6"/>
    <w:lvl w:ilvl="0">
      <w:start w:val="1"/>
      <w:numFmt w:val="bullet"/>
      <w:lvlText w:val=""/>
      <w:lvlJc w:val="left"/>
      <w:pPr>
        <w:tabs>
          <w:tab w:val="num" w:pos="720"/>
        </w:tabs>
        <w:ind w:left="720" w:hanging="360"/>
      </w:pPr>
      <w:rPr>
        <w:rFonts w:ascii="Wingdings" w:hAnsi="Wingdings" w:cs="Wingdings" w:hint="default"/>
        <w:b w:val="0"/>
        <w:i/>
        <w:color w:val="00000A"/>
        <w:sz w:val="22"/>
        <w:u w:val="none" w:color="00000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nsid w:val="0B655CA3"/>
    <w:multiLevelType w:val="multilevel"/>
    <w:tmpl w:val="47FC0E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333BEB"/>
    <w:multiLevelType w:val="multilevel"/>
    <w:tmpl w:val="EB0260F4"/>
    <w:lvl w:ilvl="0">
      <w:start w:val="1"/>
      <w:numFmt w:val="bullet"/>
      <w:lvlText w:val=""/>
      <w:lvlJc w:val="left"/>
      <w:pPr>
        <w:ind w:left="786" w:hanging="360"/>
      </w:pPr>
      <w:rPr>
        <w:rFonts w:ascii="Wingdings" w:hAnsi="Wingdings" w:cs="Wingdings" w:hint="default"/>
        <w:b/>
        <w:sz w:val="22"/>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5">
    <w:nsid w:val="21476071"/>
    <w:multiLevelType w:val="multilevel"/>
    <w:tmpl w:val="3A88FCC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30DE7813"/>
    <w:multiLevelType w:val="multilevel"/>
    <w:tmpl w:val="9C6E9724"/>
    <w:lvl w:ilvl="0">
      <w:start w:val="1"/>
      <w:numFmt w:val="bullet"/>
      <w:lvlText w:val="▪"/>
      <w:lvlJc w:val="left"/>
      <w:pPr>
        <w:ind w:left="720" w:hanging="360"/>
      </w:pPr>
      <w:rPr>
        <w:rFonts w:ascii="TimesNewRomanPS-BoldMT" w:hAnsi="TimesNewRomanPS-BoldMT" w:cs="TimesNewRomanPS-BoldMT"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3C3768B"/>
    <w:multiLevelType w:val="multilevel"/>
    <w:tmpl w:val="E2C2ED08"/>
    <w:lvl w:ilvl="0">
      <w:start w:val="1"/>
      <w:numFmt w:val="bullet"/>
      <w:lvlText w:val=""/>
      <w:lvlJc w:val="left"/>
      <w:pPr>
        <w:ind w:left="770" w:hanging="360"/>
      </w:pPr>
      <w:rPr>
        <w:rFonts w:ascii="Wingdings" w:hAnsi="Wingdings" w:cs="Wingdings" w:hint="default"/>
        <w:b/>
        <w:i w:val="0"/>
        <w:color w:val="00000A"/>
        <w:sz w:val="22"/>
        <w:szCs w:val="16"/>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cs="Wingdings" w:hint="default"/>
      </w:rPr>
    </w:lvl>
    <w:lvl w:ilvl="3">
      <w:start w:val="1"/>
      <w:numFmt w:val="bullet"/>
      <w:lvlText w:val=""/>
      <w:lvlJc w:val="left"/>
      <w:pPr>
        <w:ind w:left="2930" w:hanging="360"/>
      </w:pPr>
      <w:rPr>
        <w:rFonts w:ascii="Symbol" w:hAnsi="Symbol" w:cs="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cs="Wingdings" w:hint="default"/>
      </w:rPr>
    </w:lvl>
    <w:lvl w:ilvl="6">
      <w:start w:val="1"/>
      <w:numFmt w:val="bullet"/>
      <w:lvlText w:val=""/>
      <w:lvlJc w:val="left"/>
      <w:pPr>
        <w:ind w:left="5090" w:hanging="360"/>
      </w:pPr>
      <w:rPr>
        <w:rFonts w:ascii="Symbol" w:hAnsi="Symbol" w:cs="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cs="Wingdings" w:hint="default"/>
      </w:rPr>
    </w:lvl>
  </w:abstractNum>
  <w:abstractNum w:abstractNumId="8">
    <w:nsid w:val="33EA42B2"/>
    <w:multiLevelType w:val="multilevel"/>
    <w:tmpl w:val="CF16284A"/>
    <w:lvl w:ilvl="0">
      <w:start w:val="1"/>
      <w:numFmt w:val="bullet"/>
      <w:lvlText w:val=""/>
      <w:lvlJc w:val="left"/>
      <w:pPr>
        <w:ind w:left="360" w:hanging="360"/>
      </w:pPr>
      <w:rPr>
        <w:rFonts w:ascii="Wingdings" w:hAnsi="Wingdings" w:cs="Wingdings" w:hint="default"/>
        <w:sz w:val="22"/>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nsid w:val="42CE1594"/>
    <w:multiLevelType w:val="multilevel"/>
    <w:tmpl w:val="EC0C2FEC"/>
    <w:lvl w:ilvl="0">
      <w:start w:val="1"/>
      <w:numFmt w:val="bullet"/>
      <w:lvlText w:val=""/>
      <w:lvlJc w:val="left"/>
      <w:pPr>
        <w:ind w:left="720" w:hanging="360"/>
      </w:pPr>
      <w:rPr>
        <w:rFonts w:ascii="Symbol" w:hAnsi="Symbol" w:cs="Symbol" w:hint="default"/>
        <w:sz w:val="22"/>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0">
    <w:nsid w:val="48911D95"/>
    <w:multiLevelType w:val="multilevel"/>
    <w:tmpl w:val="2862896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4D445EAB"/>
    <w:multiLevelType w:val="multilevel"/>
    <w:tmpl w:val="4030D01E"/>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55741DBE"/>
    <w:multiLevelType w:val="multilevel"/>
    <w:tmpl w:val="73E47C0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nsid w:val="56A24AD2"/>
    <w:multiLevelType w:val="multilevel"/>
    <w:tmpl w:val="2290521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4">
    <w:nsid w:val="5D735742"/>
    <w:multiLevelType w:val="multilevel"/>
    <w:tmpl w:val="9E9EC3A2"/>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5FE65805"/>
    <w:multiLevelType w:val="multilevel"/>
    <w:tmpl w:val="147AFBE4"/>
    <w:lvl w:ilvl="0">
      <w:start w:val="1"/>
      <w:numFmt w:val="lowerRoman"/>
      <w:lvlText w:val="%1."/>
      <w:lvlJc w:val="right"/>
      <w:pPr>
        <w:ind w:left="735" w:hanging="360"/>
      </w:p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16">
    <w:nsid w:val="697A2991"/>
    <w:multiLevelType w:val="multilevel"/>
    <w:tmpl w:val="95F6810E"/>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7">
    <w:nsid w:val="6EC8384B"/>
    <w:multiLevelType w:val="multilevel"/>
    <w:tmpl w:val="A01E0BC6"/>
    <w:lvl w:ilvl="0">
      <w:start w:val="1"/>
      <w:numFmt w:val="bullet"/>
      <w:lvlText w:val="▪"/>
      <w:lvlJc w:val="left"/>
      <w:pPr>
        <w:ind w:left="720" w:hanging="360"/>
      </w:pPr>
      <w:rPr>
        <w:rFonts w:ascii="TimesNewRomanPS-BoldMT" w:hAnsi="TimesNewRomanPS-BoldMT" w:cs="TimesNewRomanPS-BoldMT" w:hint="default"/>
        <w:b/>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71355325"/>
    <w:multiLevelType w:val="multilevel"/>
    <w:tmpl w:val="CF14EEE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9">
    <w:nsid w:val="74B769D6"/>
    <w:multiLevelType w:val="multilevel"/>
    <w:tmpl w:val="ED36F33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7AD6414E"/>
    <w:multiLevelType w:val="multilevel"/>
    <w:tmpl w:val="3BFED64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7C761B8B"/>
    <w:multiLevelType w:val="multilevel"/>
    <w:tmpl w:val="A766654C"/>
    <w:lvl w:ilvl="0">
      <w:start w:val="4"/>
      <w:numFmt w:val="decimal"/>
      <w:lvlText w:val="%1"/>
      <w:lvlJc w:val="left"/>
      <w:pPr>
        <w:ind w:left="480" w:hanging="480"/>
      </w:pPr>
    </w:lvl>
    <w:lvl w:ilvl="1">
      <w:start w:val="6"/>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5"/>
  </w:num>
  <w:num w:numId="2">
    <w:abstractNumId w:val="15"/>
  </w:num>
  <w:num w:numId="3">
    <w:abstractNumId w:val="4"/>
  </w:num>
  <w:num w:numId="4">
    <w:abstractNumId w:val="0"/>
  </w:num>
  <w:num w:numId="5">
    <w:abstractNumId w:val="11"/>
  </w:num>
  <w:num w:numId="6">
    <w:abstractNumId w:val="10"/>
  </w:num>
  <w:num w:numId="7">
    <w:abstractNumId w:val="12"/>
  </w:num>
  <w:num w:numId="8">
    <w:abstractNumId w:val="1"/>
  </w:num>
  <w:num w:numId="9">
    <w:abstractNumId w:val="8"/>
  </w:num>
  <w:num w:numId="10">
    <w:abstractNumId w:val="3"/>
  </w:num>
  <w:num w:numId="11">
    <w:abstractNumId w:val="20"/>
  </w:num>
  <w:num w:numId="12">
    <w:abstractNumId w:val="19"/>
  </w:num>
  <w:num w:numId="13">
    <w:abstractNumId w:val="6"/>
  </w:num>
  <w:num w:numId="14">
    <w:abstractNumId w:val="14"/>
  </w:num>
  <w:num w:numId="15">
    <w:abstractNumId w:val="13"/>
  </w:num>
  <w:num w:numId="16">
    <w:abstractNumId w:val="21"/>
  </w:num>
  <w:num w:numId="17">
    <w:abstractNumId w:val="9"/>
  </w:num>
  <w:num w:numId="18">
    <w:abstractNumId w:val="16"/>
  </w:num>
  <w:num w:numId="19">
    <w:abstractNumId w:val="7"/>
  </w:num>
  <w:num w:numId="20">
    <w:abstractNumId w:val="17"/>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45"/>
    <w:rsid w:val="00303B66"/>
    <w:rsid w:val="00677502"/>
    <w:rsid w:val="007030DC"/>
    <w:rsid w:val="00762C4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09E0E9-8FB9-4156-B3FA-39331070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B05"/>
    <w:pPr>
      <w:widowControl w:val="0"/>
      <w:suppressAutoHyphens/>
    </w:pPr>
    <w:rPr>
      <w:rFonts w:ascii="Times New Roman" w:hAnsi="Times New Roman"/>
      <w:color w:val="00000A"/>
      <w:sz w:val="24"/>
      <w:szCs w:val="24"/>
    </w:rPr>
  </w:style>
  <w:style w:type="paragraph" w:styleId="Ttulo1">
    <w:name w:val="heading 1"/>
    <w:basedOn w:val="Normal"/>
    <w:next w:val="Normal"/>
    <w:link w:val="Ttulo1Char"/>
    <w:uiPriority w:val="9"/>
    <w:qFormat/>
    <w:rsid w:val="00453B05"/>
    <w:pPr>
      <w:outlineLvl w:val="0"/>
    </w:pPr>
  </w:style>
  <w:style w:type="paragraph" w:styleId="Ttulo2">
    <w:name w:val="heading 2"/>
    <w:basedOn w:val="Normal"/>
    <w:next w:val="Normal"/>
    <w:link w:val="Ttulo2Char"/>
    <w:uiPriority w:val="9"/>
    <w:semiHidden/>
    <w:unhideWhenUsed/>
    <w:qFormat/>
    <w:rsid w:val="009E2C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3826AB"/>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locked/>
    <w:rsid w:val="00453B05"/>
    <w:rPr>
      <w:rFonts w:asciiTheme="majorHAnsi" w:eastAsiaTheme="majorEastAsia" w:hAnsiTheme="majorHAnsi" w:cs="Times New Roman"/>
      <w:b/>
      <w:bCs/>
      <w:sz w:val="32"/>
      <w:szCs w:val="32"/>
    </w:rPr>
  </w:style>
  <w:style w:type="character" w:customStyle="1" w:styleId="RodapChar">
    <w:name w:val="Rodapé Char"/>
    <w:link w:val="Rodap"/>
    <w:uiPriority w:val="99"/>
    <w:qFormat/>
    <w:locked/>
    <w:rsid w:val="009B654B"/>
    <w:rPr>
      <w:rFonts w:ascii="Arial" w:eastAsia="Times New Roman" w:hAnsi="Arial"/>
      <w:color w:val="000000"/>
      <w:sz w:val="24"/>
    </w:rPr>
  </w:style>
  <w:style w:type="character" w:customStyle="1" w:styleId="A0">
    <w:name w:val="A0"/>
    <w:qFormat/>
    <w:rsid w:val="009B654B"/>
    <w:rPr>
      <w:color w:val="000000"/>
    </w:rPr>
  </w:style>
  <w:style w:type="character" w:customStyle="1" w:styleId="SemEspaamentoChar">
    <w:name w:val="Sem Espaçamento Char"/>
    <w:link w:val="SemEspaamento"/>
    <w:uiPriority w:val="1"/>
    <w:qFormat/>
    <w:locked/>
    <w:rsid w:val="009B654B"/>
    <w:rPr>
      <w:rFonts w:eastAsia="Times New Roman"/>
      <w:lang w:eastAsia="en-US"/>
    </w:rPr>
  </w:style>
  <w:style w:type="character" w:customStyle="1" w:styleId="CabealhoChar">
    <w:name w:val="Cabeçalho Char"/>
    <w:link w:val="Cabealho"/>
    <w:uiPriority w:val="99"/>
    <w:qFormat/>
    <w:locked/>
    <w:rsid w:val="009B654B"/>
    <w:rPr>
      <w:rFonts w:ascii="Tahoma" w:hAnsi="Tahoma"/>
      <w:sz w:val="20"/>
    </w:rPr>
  </w:style>
  <w:style w:type="character" w:customStyle="1" w:styleId="TextodebaloChar">
    <w:name w:val="Texto de balão Char"/>
    <w:link w:val="Textodebalo"/>
    <w:uiPriority w:val="99"/>
    <w:semiHidden/>
    <w:qFormat/>
    <w:locked/>
    <w:rsid w:val="009B654B"/>
    <w:rPr>
      <w:rFonts w:ascii="Tahoma" w:eastAsia="Times New Roman" w:hAnsi="Tahoma"/>
      <w:color w:val="000000"/>
      <w:sz w:val="16"/>
    </w:rPr>
  </w:style>
  <w:style w:type="character" w:styleId="Refdecomentrio">
    <w:name w:val="annotation reference"/>
    <w:basedOn w:val="Fontepargpadro"/>
    <w:uiPriority w:val="99"/>
    <w:semiHidden/>
    <w:unhideWhenUsed/>
    <w:qFormat/>
    <w:rsid w:val="009B654B"/>
    <w:rPr>
      <w:sz w:val="16"/>
    </w:rPr>
  </w:style>
  <w:style w:type="character" w:customStyle="1" w:styleId="TextodecomentrioChar">
    <w:name w:val="Texto de comentário Char"/>
    <w:link w:val="Textodecomentrio"/>
    <w:uiPriority w:val="99"/>
    <w:semiHidden/>
    <w:qFormat/>
    <w:locked/>
    <w:rsid w:val="009B654B"/>
    <w:rPr>
      <w:rFonts w:ascii="Arial" w:eastAsia="Times New Roman" w:hAnsi="Arial"/>
      <w:color w:val="000000"/>
      <w:sz w:val="20"/>
    </w:rPr>
  </w:style>
  <w:style w:type="character" w:customStyle="1" w:styleId="AssuntodocomentrioChar">
    <w:name w:val="Assunto do comentário Char"/>
    <w:link w:val="Assuntodocomentrio"/>
    <w:uiPriority w:val="99"/>
    <w:semiHidden/>
    <w:qFormat/>
    <w:locked/>
    <w:rsid w:val="009B654B"/>
    <w:rPr>
      <w:rFonts w:ascii="Arial" w:eastAsia="Times New Roman" w:hAnsi="Arial"/>
      <w:b/>
      <w:color w:val="000000"/>
      <w:sz w:val="20"/>
    </w:rPr>
  </w:style>
  <w:style w:type="character" w:customStyle="1" w:styleId="TextodenotaderodapChar">
    <w:name w:val="Texto de nota de rodapé Char"/>
    <w:link w:val="Textodenotaderodap"/>
    <w:uiPriority w:val="99"/>
    <w:semiHidden/>
    <w:qFormat/>
    <w:locked/>
    <w:rsid w:val="009B654B"/>
  </w:style>
  <w:style w:type="character" w:styleId="Refdenotaderodap">
    <w:name w:val="footnote reference"/>
    <w:basedOn w:val="Fontepargpadro"/>
    <w:uiPriority w:val="99"/>
    <w:semiHidden/>
    <w:unhideWhenUsed/>
    <w:qFormat/>
    <w:rsid w:val="009B654B"/>
    <w:rPr>
      <w:vertAlign w:val="superscript"/>
    </w:rPr>
  </w:style>
  <w:style w:type="character" w:customStyle="1" w:styleId="ListLabel1">
    <w:name w:val="ListLabel 1"/>
    <w:qFormat/>
    <w:rsid w:val="009B654B"/>
    <w:rPr>
      <w:color w:val="000000"/>
      <w:sz w:val="22"/>
      <w:u w:val="none"/>
    </w:rPr>
  </w:style>
  <w:style w:type="character" w:customStyle="1" w:styleId="ListLabel2">
    <w:name w:val="ListLabel 2"/>
    <w:qFormat/>
    <w:rsid w:val="009B654B"/>
    <w:rPr>
      <w:color w:val="000000"/>
      <w:sz w:val="16"/>
    </w:rPr>
  </w:style>
  <w:style w:type="character" w:customStyle="1" w:styleId="ListLabel3">
    <w:name w:val="ListLabel 3"/>
    <w:qFormat/>
    <w:rsid w:val="009B654B"/>
  </w:style>
  <w:style w:type="character" w:customStyle="1" w:styleId="ListLabel4">
    <w:name w:val="ListLabel 4"/>
    <w:qFormat/>
    <w:rsid w:val="009B654B"/>
    <w:rPr>
      <w:rFonts w:eastAsia="Times New Roman"/>
    </w:rPr>
  </w:style>
  <w:style w:type="character" w:customStyle="1" w:styleId="ListLabel5">
    <w:name w:val="ListLabel 5"/>
    <w:qFormat/>
    <w:rsid w:val="009B654B"/>
  </w:style>
  <w:style w:type="character" w:customStyle="1" w:styleId="ListLabel6">
    <w:name w:val="ListLabel 6"/>
    <w:qFormat/>
    <w:rsid w:val="009B654B"/>
    <w:rPr>
      <w:b/>
    </w:rPr>
  </w:style>
  <w:style w:type="character" w:customStyle="1" w:styleId="ListLabel7">
    <w:name w:val="ListLabel 7"/>
    <w:qFormat/>
    <w:rsid w:val="009B654B"/>
  </w:style>
  <w:style w:type="character" w:customStyle="1" w:styleId="ListLabel8">
    <w:name w:val="ListLabel 8"/>
    <w:qFormat/>
    <w:rsid w:val="009B654B"/>
  </w:style>
  <w:style w:type="character" w:customStyle="1" w:styleId="TtuloChar">
    <w:name w:val="Título Char"/>
    <w:basedOn w:val="Fontepargpadro"/>
    <w:link w:val="Ttulo"/>
    <w:uiPriority w:val="10"/>
    <w:qFormat/>
    <w:locked/>
    <w:rsid w:val="009B654B"/>
    <w:rPr>
      <w:rFonts w:ascii="Liberation Sans" w:eastAsia="Microsoft YaHei" w:hAnsi="Liberation Sans" w:cs="Mangal"/>
      <w:color w:val="000000"/>
      <w:sz w:val="28"/>
      <w:szCs w:val="28"/>
    </w:rPr>
  </w:style>
  <w:style w:type="character" w:customStyle="1" w:styleId="RodapChar1">
    <w:name w:val="Rodapé Char1"/>
    <w:basedOn w:val="Fontepargpadro"/>
    <w:uiPriority w:val="99"/>
    <w:semiHidden/>
    <w:qFormat/>
    <w:rsid w:val="00453B05"/>
    <w:rPr>
      <w:rFonts w:ascii="Times New Roman" w:hAnsi="Times New Roman"/>
      <w:sz w:val="24"/>
      <w:szCs w:val="24"/>
    </w:rPr>
  </w:style>
  <w:style w:type="character" w:customStyle="1" w:styleId="RodapChar11">
    <w:name w:val="Rodapé Char11"/>
    <w:basedOn w:val="Fontepargpadro"/>
    <w:uiPriority w:val="99"/>
    <w:semiHidden/>
    <w:qFormat/>
    <w:rsid w:val="009B654B"/>
    <w:rPr>
      <w:rFonts w:ascii="Times New Roman" w:hAnsi="Times New Roman" w:cs="Times New Roman"/>
      <w:sz w:val="24"/>
      <w:szCs w:val="24"/>
    </w:rPr>
  </w:style>
  <w:style w:type="character" w:customStyle="1" w:styleId="CabealhoChar1">
    <w:name w:val="Cabeçalho Char1"/>
    <w:basedOn w:val="Fontepargpadro"/>
    <w:uiPriority w:val="99"/>
    <w:semiHidden/>
    <w:qFormat/>
    <w:rsid w:val="00453B05"/>
    <w:rPr>
      <w:rFonts w:ascii="Times New Roman" w:hAnsi="Times New Roman"/>
      <w:sz w:val="24"/>
      <w:szCs w:val="24"/>
    </w:rPr>
  </w:style>
  <w:style w:type="character" w:customStyle="1" w:styleId="CabealhoChar11">
    <w:name w:val="Cabeçalho Char11"/>
    <w:basedOn w:val="Fontepargpadro"/>
    <w:uiPriority w:val="99"/>
    <w:semiHidden/>
    <w:qFormat/>
    <w:rsid w:val="009B654B"/>
    <w:rPr>
      <w:rFonts w:ascii="Times New Roman" w:hAnsi="Times New Roman" w:cs="Times New Roman"/>
      <w:sz w:val="24"/>
      <w:szCs w:val="24"/>
    </w:rPr>
  </w:style>
  <w:style w:type="character" w:customStyle="1" w:styleId="TextodebaloChar1">
    <w:name w:val="Texto de balão Char1"/>
    <w:basedOn w:val="Fontepargpadro"/>
    <w:uiPriority w:val="99"/>
    <w:semiHidden/>
    <w:qFormat/>
    <w:rsid w:val="00453B05"/>
    <w:rPr>
      <w:rFonts w:ascii="Segoe UI" w:hAnsi="Segoe UI" w:cs="Segoe UI"/>
      <w:sz w:val="18"/>
      <w:szCs w:val="18"/>
    </w:rPr>
  </w:style>
  <w:style w:type="character" w:customStyle="1" w:styleId="TextodebaloChar11">
    <w:name w:val="Texto de balão Char11"/>
    <w:basedOn w:val="Fontepargpadro"/>
    <w:uiPriority w:val="99"/>
    <w:semiHidden/>
    <w:qFormat/>
    <w:rsid w:val="009B654B"/>
    <w:rPr>
      <w:rFonts w:ascii="Segoe UI" w:hAnsi="Segoe UI" w:cs="Segoe UI"/>
      <w:sz w:val="18"/>
      <w:szCs w:val="18"/>
    </w:rPr>
  </w:style>
  <w:style w:type="character" w:customStyle="1" w:styleId="TextodecomentrioChar1">
    <w:name w:val="Texto de comentário Char1"/>
    <w:basedOn w:val="Fontepargpadro"/>
    <w:uiPriority w:val="99"/>
    <w:semiHidden/>
    <w:qFormat/>
    <w:rsid w:val="00453B05"/>
    <w:rPr>
      <w:rFonts w:ascii="Times New Roman" w:hAnsi="Times New Roman"/>
      <w:sz w:val="20"/>
      <w:szCs w:val="20"/>
    </w:rPr>
  </w:style>
  <w:style w:type="character" w:customStyle="1" w:styleId="TextodecomentrioChar11">
    <w:name w:val="Texto de comentário Char11"/>
    <w:basedOn w:val="Fontepargpadro"/>
    <w:uiPriority w:val="99"/>
    <w:semiHidden/>
    <w:qFormat/>
    <w:rsid w:val="009B654B"/>
    <w:rPr>
      <w:rFonts w:ascii="Times New Roman" w:hAnsi="Times New Roman" w:cs="Times New Roman"/>
      <w:sz w:val="20"/>
      <w:szCs w:val="20"/>
    </w:rPr>
  </w:style>
  <w:style w:type="character" w:customStyle="1" w:styleId="AssuntodocomentrioChar1">
    <w:name w:val="Assunto do comentário Char1"/>
    <w:basedOn w:val="TextodecomentrioChar"/>
    <w:uiPriority w:val="99"/>
    <w:semiHidden/>
    <w:qFormat/>
    <w:rsid w:val="00453B05"/>
    <w:rPr>
      <w:rFonts w:ascii="Times New Roman" w:eastAsia="Times New Roman" w:hAnsi="Times New Roman"/>
      <w:b/>
      <w:bCs/>
      <w:color w:val="000000"/>
      <w:sz w:val="20"/>
      <w:szCs w:val="20"/>
    </w:rPr>
  </w:style>
  <w:style w:type="character" w:customStyle="1" w:styleId="AssuntodocomentrioChar11">
    <w:name w:val="Assunto do comentário Char11"/>
    <w:basedOn w:val="TextodecomentrioChar11"/>
    <w:uiPriority w:val="99"/>
    <w:semiHidden/>
    <w:qFormat/>
    <w:rsid w:val="009B654B"/>
    <w:rPr>
      <w:rFonts w:ascii="Times New Roman" w:hAnsi="Times New Roman" w:cs="Times New Roman"/>
      <w:b/>
      <w:bCs/>
      <w:sz w:val="20"/>
      <w:szCs w:val="20"/>
    </w:rPr>
  </w:style>
  <w:style w:type="character" w:customStyle="1" w:styleId="TextodenotaderodapChar1">
    <w:name w:val="Texto de nota de rodapé Char1"/>
    <w:basedOn w:val="Fontepargpadro"/>
    <w:uiPriority w:val="99"/>
    <w:semiHidden/>
    <w:qFormat/>
    <w:rsid w:val="00453B05"/>
    <w:rPr>
      <w:rFonts w:ascii="Times New Roman" w:hAnsi="Times New Roman"/>
      <w:sz w:val="20"/>
      <w:szCs w:val="20"/>
    </w:rPr>
  </w:style>
  <w:style w:type="character" w:customStyle="1" w:styleId="TextodenotaderodapChar11">
    <w:name w:val="Texto de nota de rodapé Char11"/>
    <w:basedOn w:val="Fontepargpadro"/>
    <w:uiPriority w:val="99"/>
    <w:semiHidden/>
    <w:qFormat/>
    <w:rsid w:val="009B654B"/>
    <w:rPr>
      <w:rFonts w:ascii="Times New Roman" w:hAnsi="Times New Roman" w:cs="Times New Roman"/>
      <w:sz w:val="20"/>
      <w:szCs w:val="20"/>
    </w:rPr>
  </w:style>
  <w:style w:type="character" w:customStyle="1" w:styleId="PargrafodaListaChar">
    <w:name w:val="Parágrafo da Lista Char"/>
    <w:link w:val="PargrafodaLista"/>
    <w:qFormat/>
    <w:locked/>
    <w:rsid w:val="000C7DA7"/>
    <w:rPr>
      <w:rFonts w:ascii="Arial" w:eastAsia="Times New Roman" w:hAnsi="Arial" w:cs="Arial"/>
      <w:color w:val="000000"/>
      <w:sz w:val="24"/>
      <w:szCs w:val="24"/>
    </w:rPr>
  </w:style>
  <w:style w:type="character" w:customStyle="1" w:styleId="ListLabel9">
    <w:name w:val="ListLabel 9"/>
    <w:qFormat/>
    <w:rsid w:val="00453B05"/>
    <w:rPr>
      <w:rFonts w:cs="Times New Roman"/>
    </w:rPr>
  </w:style>
  <w:style w:type="character" w:customStyle="1" w:styleId="ListLabel10">
    <w:name w:val="ListLabel 10"/>
    <w:qFormat/>
    <w:rsid w:val="00453B05"/>
    <w:rPr>
      <w:rFonts w:cs="Times New Roman"/>
      <w:b/>
    </w:rPr>
  </w:style>
  <w:style w:type="character" w:customStyle="1" w:styleId="ListLabel11">
    <w:name w:val="ListLabel 11"/>
    <w:qFormat/>
    <w:rsid w:val="00453B05"/>
    <w:rPr>
      <w:rFonts w:cs="Times New Roman"/>
    </w:rPr>
  </w:style>
  <w:style w:type="character" w:customStyle="1" w:styleId="ListLabel12">
    <w:name w:val="ListLabel 12"/>
    <w:qFormat/>
    <w:rsid w:val="00453B05"/>
    <w:rPr>
      <w:rFonts w:cs="Times New Roman"/>
      <w:b w:val="0"/>
    </w:rPr>
  </w:style>
  <w:style w:type="character" w:customStyle="1" w:styleId="LinkdaInternet">
    <w:name w:val="Link da Internet"/>
    <w:basedOn w:val="Fontepargpadro"/>
    <w:uiPriority w:val="99"/>
    <w:unhideWhenUsed/>
    <w:rsid w:val="00B279D9"/>
    <w:rPr>
      <w:color w:val="0563C1" w:themeColor="hyperlink"/>
      <w:u w:val="single"/>
    </w:rPr>
  </w:style>
  <w:style w:type="character" w:customStyle="1" w:styleId="Marcas">
    <w:name w:val="Marcas"/>
    <w:qFormat/>
    <w:rsid w:val="00453B05"/>
    <w:rPr>
      <w:rFonts w:ascii="OpenSymbol" w:eastAsia="OpenSymbol" w:hAnsi="OpenSymbol" w:cs="OpenSymbol"/>
    </w:rPr>
  </w:style>
  <w:style w:type="character" w:customStyle="1" w:styleId="ListLabel13">
    <w:name w:val="ListLabel 13"/>
    <w:qFormat/>
    <w:rsid w:val="005867FE"/>
    <w:rPr>
      <w:rFonts w:cs="Symbol"/>
    </w:rPr>
  </w:style>
  <w:style w:type="character" w:customStyle="1" w:styleId="ListLabel14">
    <w:name w:val="ListLabel 14"/>
    <w:qFormat/>
    <w:rsid w:val="005867FE"/>
    <w:rPr>
      <w:rFonts w:cs="Courier New"/>
    </w:rPr>
  </w:style>
  <w:style w:type="character" w:customStyle="1" w:styleId="ListLabel15">
    <w:name w:val="ListLabel 15"/>
    <w:qFormat/>
    <w:rsid w:val="005867FE"/>
    <w:rPr>
      <w:rFonts w:cs="Wingdings"/>
    </w:rPr>
  </w:style>
  <w:style w:type="character" w:customStyle="1" w:styleId="ListLabel16">
    <w:name w:val="ListLabel 16"/>
    <w:qFormat/>
    <w:rsid w:val="005867FE"/>
    <w:rPr>
      <w:rFonts w:cs="OpenSymbol"/>
    </w:rPr>
  </w:style>
  <w:style w:type="character" w:customStyle="1" w:styleId="ListLabel17">
    <w:name w:val="ListLabel 17"/>
    <w:qFormat/>
    <w:rsid w:val="005867FE"/>
    <w:rPr>
      <w:color w:val="00000A"/>
    </w:rPr>
  </w:style>
  <w:style w:type="character" w:customStyle="1" w:styleId="ListLabel18">
    <w:name w:val="ListLabel 18"/>
    <w:qFormat/>
    <w:rsid w:val="005867FE"/>
    <w:rPr>
      <w:b/>
    </w:rPr>
  </w:style>
  <w:style w:type="character" w:customStyle="1" w:styleId="ListLabel19">
    <w:name w:val="ListLabel 19"/>
    <w:qFormat/>
    <w:rsid w:val="005867FE"/>
  </w:style>
  <w:style w:type="character" w:customStyle="1" w:styleId="ListLabel20">
    <w:name w:val="ListLabel 20"/>
    <w:qFormat/>
    <w:rsid w:val="005867FE"/>
    <w:rPr>
      <w:b w:val="0"/>
    </w:rPr>
  </w:style>
  <w:style w:type="character" w:customStyle="1" w:styleId="Ttulo2Char">
    <w:name w:val="Título 2 Char"/>
    <w:basedOn w:val="Fontepargpadro"/>
    <w:link w:val="Ttulo2"/>
    <w:uiPriority w:val="9"/>
    <w:semiHidden/>
    <w:qFormat/>
    <w:rsid w:val="009E2C99"/>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qFormat/>
    <w:rsid w:val="003826AB"/>
    <w:rPr>
      <w:rFonts w:asciiTheme="majorHAnsi" w:eastAsiaTheme="majorEastAsia" w:hAnsiTheme="majorHAnsi" w:cstheme="majorBidi"/>
      <w:color w:val="1F4D78" w:themeColor="accent1" w:themeShade="7F"/>
      <w:sz w:val="24"/>
      <w:szCs w:val="24"/>
    </w:rPr>
  </w:style>
  <w:style w:type="character" w:customStyle="1" w:styleId="Estilo3Char">
    <w:name w:val="Estilo3 Char"/>
    <w:basedOn w:val="Ttulo3Char"/>
    <w:link w:val="Estilo3"/>
    <w:qFormat/>
    <w:rsid w:val="003826AB"/>
    <w:rPr>
      <w:rFonts w:ascii="Times New Roman" w:eastAsiaTheme="majorEastAsia" w:hAnsi="Times New Roman" w:cstheme="majorBidi"/>
      <w:b/>
      <w:color w:val="00000A"/>
      <w:sz w:val="22"/>
      <w:szCs w:val="24"/>
    </w:rPr>
  </w:style>
  <w:style w:type="character" w:customStyle="1" w:styleId="Estilo2Char">
    <w:name w:val="Estilo2 Char"/>
    <w:basedOn w:val="Ttulo1Char"/>
    <w:link w:val="Estilo2"/>
    <w:qFormat/>
    <w:rsid w:val="003826AB"/>
    <w:rPr>
      <w:rFonts w:ascii="Times New Roman" w:eastAsiaTheme="majorEastAsia" w:hAnsi="Times New Roman" w:cs="Times New Roman"/>
      <w:b w:val="0"/>
      <w:bCs w:val="0"/>
      <w:sz w:val="22"/>
      <w:szCs w:val="32"/>
    </w:rPr>
  </w:style>
  <w:style w:type="character" w:customStyle="1" w:styleId="Estilo4Char">
    <w:name w:val="Estilo4 Char"/>
    <w:basedOn w:val="Estilo2Char"/>
    <w:link w:val="Estilo4"/>
    <w:qFormat/>
    <w:rsid w:val="003826AB"/>
    <w:rPr>
      <w:rFonts w:ascii="Times New Roman" w:eastAsiaTheme="majorEastAsia" w:hAnsi="Times New Roman" w:cs="Times New Roman"/>
      <w:b w:val="0"/>
      <w:bCs w:val="0"/>
      <w:sz w:val="22"/>
      <w:szCs w:val="32"/>
    </w:rPr>
  </w:style>
  <w:style w:type="character" w:customStyle="1" w:styleId="Estilo2Char0">
    <w:name w:val="Estilo 2 Char"/>
    <w:basedOn w:val="Estilo2Char"/>
    <w:qFormat/>
    <w:rsid w:val="003826AB"/>
    <w:rPr>
      <w:rFonts w:ascii="Times New Roman" w:eastAsiaTheme="majorEastAsia" w:hAnsi="Times New Roman" w:cs="Times New Roman"/>
      <w:b/>
      <w:bCs w:val="0"/>
      <w:sz w:val="22"/>
      <w:szCs w:val="32"/>
    </w:rPr>
  </w:style>
  <w:style w:type="character" w:customStyle="1" w:styleId="Estilo5Char">
    <w:name w:val="Estilo5 Char"/>
    <w:basedOn w:val="Estilo4Char"/>
    <w:link w:val="Estilo5"/>
    <w:qFormat/>
    <w:rsid w:val="00AF4809"/>
    <w:rPr>
      <w:rFonts w:ascii="Times New Roman" w:eastAsiaTheme="majorEastAsia" w:hAnsi="Times New Roman" w:cs="Times New Roman"/>
      <w:b w:val="0"/>
      <w:bCs w:val="0"/>
      <w:sz w:val="22"/>
      <w:szCs w:val="32"/>
    </w:rPr>
  </w:style>
  <w:style w:type="character" w:styleId="Forte">
    <w:name w:val="Strong"/>
    <w:basedOn w:val="Fontepargpadro"/>
    <w:uiPriority w:val="22"/>
    <w:qFormat/>
    <w:rsid w:val="00707036"/>
    <w:rPr>
      <w:b/>
      <w:bCs/>
    </w:rPr>
  </w:style>
  <w:style w:type="character" w:styleId="nfase">
    <w:name w:val="Emphasis"/>
    <w:basedOn w:val="Fontepargpadro"/>
    <w:uiPriority w:val="20"/>
    <w:qFormat/>
    <w:rsid w:val="00B50FE3"/>
    <w:rPr>
      <w:i/>
      <w:iCs/>
    </w:rPr>
  </w:style>
  <w:style w:type="character" w:customStyle="1" w:styleId="TextodenotadefimChar">
    <w:name w:val="Texto de nota de fim Char"/>
    <w:basedOn w:val="Fontepargpadro"/>
    <w:link w:val="Textodenotadefim"/>
    <w:uiPriority w:val="99"/>
    <w:semiHidden/>
    <w:qFormat/>
    <w:rsid w:val="004231E5"/>
    <w:rPr>
      <w:rFonts w:ascii="Times New Roman" w:hAnsi="Times New Roman"/>
      <w:szCs w:val="20"/>
    </w:rPr>
  </w:style>
  <w:style w:type="character" w:styleId="Refdenotadefim">
    <w:name w:val="endnote reference"/>
    <w:basedOn w:val="Fontepargpadro"/>
    <w:uiPriority w:val="99"/>
    <w:semiHidden/>
    <w:unhideWhenUsed/>
    <w:qFormat/>
    <w:rsid w:val="004231E5"/>
    <w:rPr>
      <w:vertAlign w:val="superscript"/>
    </w:rPr>
  </w:style>
  <w:style w:type="character" w:customStyle="1" w:styleId="zmsearchresult">
    <w:name w:val="zmsearchresult"/>
    <w:basedOn w:val="Fontepargpadro"/>
    <w:qFormat/>
    <w:rsid w:val="006D73D7"/>
  </w:style>
  <w:style w:type="character" w:customStyle="1" w:styleId="apple-converted-space">
    <w:name w:val="apple-converted-space"/>
    <w:basedOn w:val="Fontepargpadro"/>
    <w:qFormat/>
    <w:rsid w:val="006D73D7"/>
  </w:style>
  <w:style w:type="character" w:customStyle="1" w:styleId="normal10Char">
    <w:name w:val="normal 10 Char"/>
    <w:basedOn w:val="Fontepargpadro"/>
    <w:qFormat/>
    <w:rsid w:val="00F125A9"/>
    <w:rPr>
      <w:rFonts w:ascii="Times New Roman" w:eastAsia="Times New Roman" w:hAnsi="Times New Roman"/>
      <w:szCs w:val="20"/>
    </w:rPr>
  </w:style>
  <w:style w:type="character" w:customStyle="1" w:styleId="a">
    <w:name w:val="a"/>
    <w:basedOn w:val="Fontepargpadro"/>
    <w:qFormat/>
    <w:rsid w:val="000044D2"/>
  </w:style>
  <w:style w:type="character" w:customStyle="1" w:styleId="ListLabel21">
    <w:name w:val="ListLabel 21"/>
    <w:qFormat/>
    <w:rPr>
      <w:rFonts w:cs="Symbol"/>
      <w:sz w:val="22"/>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TimesNewRomanPS-BoldMT"/>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ascii="Times New Roman" w:hAnsi="Times New Roman" w:cs="Wingdings"/>
      <w:b/>
      <w:sz w:val="22"/>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Wingdings"/>
      <w:b/>
      <w:sz w:val="22"/>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Times New Roman" w:hAnsi="Times New Roman" w:cs="Wingdings"/>
      <w:sz w:val="22"/>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b/>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2"/>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eastAsia="Times New Roman" w:cs="Times New Roman"/>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ascii="Times New Roman" w:hAnsi="Times New Roman" w:cs="TimesNewRomanPS-BoldMT"/>
      <w:sz w:val="22"/>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Wingdings"/>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Wingdings"/>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Wingdings"/>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b/>
    </w:rPr>
  </w:style>
  <w:style w:type="character" w:customStyle="1" w:styleId="ListLabel164">
    <w:name w:val="ListLabel 164"/>
    <w:qFormat/>
    <w:rPr>
      <w:rFonts w:ascii="Times New Roman" w:hAnsi="Times New Roman"/>
      <w:b/>
      <w:i w:val="0"/>
      <w:color w:val="00000A"/>
      <w:sz w:val="22"/>
      <w:szCs w:val="16"/>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ascii="Times New Roman" w:hAnsi="Times New Roman"/>
      <w:b/>
      <w:color w:val="00000A"/>
      <w:sz w:val="22"/>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b w:val="0"/>
      <w:i/>
      <w:color w:val="00000A"/>
      <w:sz w:val="22"/>
      <w:u w:val="none" w:color="000000"/>
    </w:rPr>
  </w:style>
  <w:style w:type="character" w:customStyle="1" w:styleId="ListLabel173">
    <w:name w:val="ListLabel 173"/>
    <w:qFormat/>
    <w:rPr>
      <w:sz w:val="20"/>
    </w:rPr>
  </w:style>
  <w:style w:type="character" w:customStyle="1" w:styleId="ListLabel174">
    <w:name w:val="ListLabel 174"/>
    <w:qFormat/>
    <w:rPr>
      <w:sz w:val="20"/>
    </w:rPr>
  </w:style>
  <w:style w:type="character" w:customStyle="1" w:styleId="ListLabel175">
    <w:name w:val="ListLabel 175"/>
    <w:qFormat/>
    <w:rPr>
      <w:sz w:val="20"/>
    </w:rPr>
  </w:style>
  <w:style w:type="character" w:customStyle="1" w:styleId="ListLabel176">
    <w:name w:val="ListLabel 176"/>
    <w:qFormat/>
    <w:rPr>
      <w:sz w:val="20"/>
    </w:rPr>
  </w:style>
  <w:style w:type="character" w:customStyle="1" w:styleId="ListLabel177">
    <w:name w:val="ListLabel 177"/>
    <w:qFormat/>
    <w:rPr>
      <w:sz w:val="20"/>
    </w:rPr>
  </w:style>
  <w:style w:type="character" w:customStyle="1" w:styleId="ListLabel178">
    <w:name w:val="ListLabel 178"/>
    <w:qFormat/>
    <w:rPr>
      <w:sz w:val="20"/>
    </w:rPr>
  </w:style>
  <w:style w:type="character" w:customStyle="1" w:styleId="ListLabel179">
    <w:name w:val="ListLabel 179"/>
    <w:qFormat/>
    <w:rPr>
      <w:sz w:val="20"/>
    </w:rPr>
  </w:style>
  <w:style w:type="character" w:customStyle="1" w:styleId="ListLabel180">
    <w:name w:val="ListLabel 180"/>
    <w:qFormat/>
    <w:rPr>
      <w:sz w:val="20"/>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Vnculodendice">
    <w:name w:val="Vínculo de índice"/>
    <w:qFormat/>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character" w:customStyle="1" w:styleId="ListLabel184">
    <w:name w:val="ListLabel 184"/>
    <w:qFormat/>
    <w:rPr>
      <w:rFonts w:cs="Symbol"/>
      <w:sz w:val="22"/>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ascii="Times New Roman" w:hAnsi="Times New Roman" w:cs="Wingdings"/>
      <w:b/>
      <w:sz w:val="22"/>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ascii="Times New Roman" w:hAnsi="Times New Roman" w:cs="Wingdings"/>
      <w:b/>
      <w:sz w:val="22"/>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ascii="Times New Roman" w:hAnsi="Times New Roman" w:cs="Wingdings"/>
      <w:sz w:val="22"/>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sz w:val="22"/>
    </w:rPr>
  </w:style>
  <w:style w:type="character" w:customStyle="1" w:styleId="ListLabel221">
    <w:name w:val="ListLabel 221"/>
    <w:qFormat/>
    <w:rPr>
      <w:rFonts w:cs="Courier New"/>
      <w:sz w:val="20"/>
    </w:rPr>
  </w:style>
  <w:style w:type="character" w:customStyle="1" w:styleId="ListLabel222">
    <w:name w:val="ListLabel 222"/>
    <w:qFormat/>
    <w:rPr>
      <w:rFonts w:cs="Wingdings"/>
      <w:sz w:val="20"/>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Wingdings"/>
      <w:sz w:val="20"/>
    </w:rPr>
  </w:style>
  <w:style w:type="character" w:customStyle="1" w:styleId="ListLabel227">
    <w:name w:val="ListLabel 227"/>
    <w:qFormat/>
    <w:rPr>
      <w:rFonts w:cs="Wingdings"/>
      <w:sz w:val="20"/>
    </w:rPr>
  </w:style>
  <w:style w:type="character" w:customStyle="1" w:styleId="ListLabel228">
    <w:name w:val="ListLabel 228"/>
    <w:qFormat/>
    <w:rPr>
      <w:rFonts w:cs="Wingdings"/>
      <w:sz w:val="20"/>
    </w:rPr>
  </w:style>
  <w:style w:type="character" w:customStyle="1" w:styleId="ListLabel229">
    <w:name w:val="ListLabel 229"/>
    <w:qFormat/>
    <w:rPr>
      <w:rFonts w:ascii="Times New Roman" w:hAnsi="Times New Roman" w:cs="Wingdings"/>
      <w:sz w:val="22"/>
    </w:rPr>
  </w:style>
  <w:style w:type="character" w:customStyle="1" w:styleId="ListLabel230">
    <w:name w:val="ListLabel 230"/>
    <w:qFormat/>
    <w:rPr>
      <w:rFonts w:cs="Times New Roman"/>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character" w:customStyle="1" w:styleId="ListLabel238">
    <w:name w:val="ListLabel 238"/>
    <w:qFormat/>
    <w:rPr>
      <w:rFonts w:cs="Symbol"/>
    </w:rPr>
  </w:style>
  <w:style w:type="character" w:customStyle="1" w:styleId="ListLabel239">
    <w:name w:val="ListLabel 239"/>
    <w:qFormat/>
    <w:rPr>
      <w:rFonts w:ascii="Times New Roman" w:hAnsi="Times New Roman" w:cs="Symbol"/>
      <w:sz w:val="22"/>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ascii="Times New Roman" w:hAnsi="Times New Roman" w:cs="Symbol"/>
      <w:sz w:val="22"/>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ascii="Times New Roman" w:hAnsi="Times New Roman" w:cs="TimesNewRomanPS-BoldMT"/>
      <w:sz w:val="22"/>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sz w:val="22"/>
    </w:rPr>
  </w:style>
  <w:style w:type="character" w:customStyle="1" w:styleId="ListLabel266">
    <w:name w:val="ListLabel 266"/>
    <w:qFormat/>
    <w:rPr>
      <w:rFonts w:cs="Symbol"/>
      <w:sz w:val="22"/>
    </w:rPr>
  </w:style>
  <w:style w:type="character" w:customStyle="1" w:styleId="ListLabel267">
    <w:name w:val="ListLabel 267"/>
    <w:qFormat/>
    <w:rPr>
      <w:rFonts w:cs="Symbol"/>
    </w:rPr>
  </w:style>
  <w:style w:type="character" w:customStyle="1" w:styleId="ListLabel268">
    <w:name w:val="ListLabel 268"/>
    <w:qFormat/>
    <w:rPr>
      <w:rFonts w:ascii="Times New Roman" w:hAnsi="Times New Roman" w:cs="Wingdings"/>
      <w:b/>
      <w:i w:val="0"/>
      <w:color w:val="00000A"/>
      <w:sz w:val="22"/>
      <w:szCs w:val="16"/>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ascii="Times New Roman" w:hAnsi="Times New Roman" w:cs="TimesNewRomanPS-BoldMT"/>
      <w:b/>
      <w:color w:val="00000A"/>
      <w:sz w:val="22"/>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Wingdings"/>
      <w:b w:val="0"/>
      <w:i/>
      <w:color w:val="00000A"/>
      <w:sz w:val="22"/>
      <w:u w:val="none" w:color="000000"/>
    </w:rPr>
  </w:style>
  <w:style w:type="character" w:customStyle="1" w:styleId="ListLabel287">
    <w:name w:val="ListLabel 287"/>
    <w:qFormat/>
    <w:rPr>
      <w:rFonts w:cs="Courier New"/>
      <w:sz w:val="20"/>
    </w:rPr>
  </w:style>
  <w:style w:type="character" w:customStyle="1" w:styleId="ListLabel288">
    <w:name w:val="ListLabel 288"/>
    <w:qFormat/>
    <w:rPr>
      <w:rFonts w:cs="Wingdings"/>
      <w:sz w:val="20"/>
    </w:rPr>
  </w:style>
  <w:style w:type="character" w:customStyle="1" w:styleId="ListLabel289">
    <w:name w:val="ListLabel 289"/>
    <w:qFormat/>
    <w:rPr>
      <w:rFonts w:cs="Wingdings"/>
      <w:sz w:val="20"/>
    </w:rPr>
  </w:style>
  <w:style w:type="character" w:customStyle="1" w:styleId="ListLabel290">
    <w:name w:val="ListLabel 290"/>
    <w:qFormat/>
    <w:rPr>
      <w:rFonts w:cs="Wingdings"/>
      <w:sz w:val="20"/>
    </w:rPr>
  </w:style>
  <w:style w:type="character" w:customStyle="1" w:styleId="ListLabel291">
    <w:name w:val="ListLabel 291"/>
    <w:qFormat/>
    <w:rPr>
      <w:rFonts w:cs="Wingdings"/>
      <w:sz w:val="20"/>
    </w:rPr>
  </w:style>
  <w:style w:type="character" w:customStyle="1" w:styleId="ListLabel292">
    <w:name w:val="ListLabel 292"/>
    <w:qFormat/>
    <w:rPr>
      <w:rFonts w:cs="Wingdings"/>
      <w:sz w:val="20"/>
    </w:rPr>
  </w:style>
  <w:style w:type="character" w:customStyle="1" w:styleId="ListLabel293">
    <w:name w:val="ListLabel 293"/>
    <w:qFormat/>
    <w:rPr>
      <w:rFonts w:cs="Wingdings"/>
      <w:sz w:val="20"/>
    </w:rPr>
  </w:style>
  <w:style w:type="character" w:customStyle="1" w:styleId="ListLabel294">
    <w:name w:val="ListLabel 294"/>
    <w:qFormat/>
    <w:rPr>
      <w:rFonts w:cs="Wingdings"/>
      <w:sz w:val="20"/>
    </w:rPr>
  </w:style>
  <w:style w:type="character" w:customStyle="1" w:styleId="ListLabel295">
    <w:name w:val="ListLabel 295"/>
    <w:qFormat/>
    <w:rPr>
      <w:rFonts w:cs="Symbol"/>
      <w:sz w:val="22"/>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cs="Symbol"/>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ascii="Times New Roman" w:hAnsi="Times New Roman" w:cs="Wingdings"/>
      <w:b/>
      <w:sz w:val="22"/>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ascii="Times New Roman" w:hAnsi="Times New Roman" w:cs="Wingdings"/>
      <w:b/>
      <w:sz w:val="22"/>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ascii="Times New Roman" w:hAnsi="Times New Roman" w:cs="Wingdings"/>
      <w:sz w:val="22"/>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cs="Symbol"/>
    </w:rPr>
  </w:style>
  <w:style w:type="character" w:customStyle="1" w:styleId="ListLabel326">
    <w:name w:val="ListLabel 326"/>
    <w:qFormat/>
    <w:rPr>
      <w:rFonts w:cs="Courier New"/>
    </w:rPr>
  </w:style>
  <w:style w:type="character" w:customStyle="1" w:styleId="ListLabel327">
    <w:name w:val="ListLabel 327"/>
    <w:qFormat/>
    <w:rPr>
      <w:rFonts w:cs="Wingdings"/>
    </w:rPr>
  </w:style>
  <w:style w:type="character" w:customStyle="1" w:styleId="ListLabel328">
    <w:name w:val="ListLabel 328"/>
    <w:qFormat/>
    <w:rPr>
      <w:rFonts w:cs="Symbol"/>
    </w:rPr>
  </w:style>
  <w:style w:type="character" w:customStyle="1" w:styleId="ListLabel329">
    <w:name w:val="ListLabel 329"/>
    <w:qFormat/>
    <w:rPr>
      <w:rFonts w:cs="Courier New"/>
    </w:rPr>
  </w:style>
  <w:style w:type="character" w:customStyle="1" w:styleId="ListLabel330">
    <w:name w:val="ListLabel 330"/>
    <w:qFormat/>
    <w:rPr>
      <w:rFonts w:cs="Wingdings"/>
    </w:rPr>
  </w:style>
  <w:style w:type="character" w:customStyle="1" w:styleId="ListLabel331">
    <w:name w:val="ListLabel 331"/>
    <w:qFormat/>
    <w:rPr>
      <w:rFonts w:cs="Symbol"/>
      <w:sz w:val="22"/>
    </w:rPr>
  </w:style>
  <w:style w:type="character" w:customStyle="1" w:styleId="ListLabel332">
    <w:name w:val="ListLabel 332"/>
    <w:qFormat/>
    <w:rPr>
      <w:rFonts w:cs="Courier New"/>
      <w:sz w:val="20"/>
    </w:rPr>
  </w:style>
  <w:style w:type="character" w:customStyle="1" w:styleId="ListLabel333">
    <w:name w:val="ListLabel 333"/>
    <w:qFormat/>
    <w:rPr>
      <w:rFonts w:cs="Wingdings"/>
      <w:sz w:val="20"/>
    </w:rPr>
  </w:style>
  <w:style w:type="character" w:customStyle="1" w:styleId="ListLabel334">
    <w:name w:val="ListLabel 334"/>
    <w:qFormat/>
    <w:rPr>
      <w:rFonts w:cs="Wingdings"/>
      <w:sz w:val="20"/>
    </w:rPr>
  </w:style>
  <w:style w:type="character" w:customStyle="1" w:styleId="ListLabel335">
    <w:name w:val="ListLabel 335"/>
    <w:qFormat/>
    <w:rPr>
      <w:rFonts w:cs="Wingdings"/>
      <w:sz w:val="20"/>
    </w:rPr>
  </w:style>
  <w:style w:type="character" w:customStyle="1" w:styleId="ListLabel336">
    <w:name w:val="ListLabel 336"/>
    <w:qFormat/>
    <w:rPr>
      <w:rFonts w:cs="Wingdings"/>
      <w:sz w:val="20"/>
    </w:rPr>
  </w:style>
  <w:style w:type="character" w:customStyle="1" w:styleId="ListLabel337">
    <w:name w:val="ListLabel 337"/>
    <w:qFormat/>
    <w:rPr>
      <w:rFonts w:cs="Wingdings"/>
      <w:sz w:val="20"/>
    </w:rPr>
  </w:style>
  <w:style w:type="character" w:customStyle="1" w:styleId="ListLabel338">
    <w:name w:val="ListLabel 338"/>
    <w:qFormat/>
    <w:rPr>
      <w:rFonts w:cs="Wingdings"/>
      <w:sz w:val="20"/>
    </w:rPr>
  </w:style>
  <w:style w:type="character" w:customStyle="1" w:styleId="ListLabel339">
    <w:name w:val="ListLabel 339"/>
    <w:qFormat/>
    <w:rPr>
      <w:rFonts w:cs="Wingdings"/>
      <w:sz w:val="20"/>
    </w:rPr>
  </w:style>
  <w:style w:type="character" w:customStyle="1" w:styleId="ListLabel340">
    <w:name w:val="ListLabel 340"/>
    <w:qFormat/>
    <w:rPr>
      <w:rFonts w:ascii="Times New Roman" w:hAnsi="Times New Roman" w:cs="Wingdings"/>
      <w:sz w:val="22"/>
    </w:rPr>
  </w:style>
  <w:style w:type="character" w:customStyle="1" w:styleId="ListLabel341">
    <w:name w:val="ListLabel 341"/>
    <w:qFormat/>
    <w:rPr>
      <w:rFonts w:cs="Times New Roman"/>
    </w:rPr>
  </w:style>
  <w:style w:type="character" w:customStyle="1" w:styleId="ListLabel342">
    <w:name w:val="ListLabel 342"/>
    <w:qFormat/>
    <w:rPr>
      <w:rFonts w:cs="Wingdings"/>
    </w:rPr>
  </w:style>
  <w:style w:type="character" w:customStyle="1" w:styleId="ListLabel343">
    <w:name w:val="ListLabel 343"/>
    <w:qFormat/>
    <w:rPr>
      <w:rFonts w:cs="Symbol"/>
    </w:rPr>
  </w:style>
  <w:style w:type="character" w:customStyle="1" w:styleId="ListLabel344">
    <w:name w:val="ListLabel 344"/>
    <w:qFormat/>
    <w:rPr>
      <w:rFonts w:cs="Courier New"/>
    </w:rPr>
  </w:style>
  <w:style w:type="character" w:customStyle="1" w:styleId="ListLabel345">
    <w:name w:val="ListLabel 345"/>
    <w:qFormat/>
    <w:rPr>
      <w:rFonts w:cs="Wingdings"/>
    </w:rPr>
  </w:style>
  <w:style w:type="character" w:customStyle="1" w:styleId="ListLabel346">
    <w:name w:val="ListLabel 346"/>
    <w:qFormat/>
    <w:rPr>
      <w:rFonts w:cs="Symbol"/>
    </w:rPr>
  </w:style>
  <w:style w:type="character" w:customStyle="1" w:styleId="ListLabel347">
    <w:name w:val="ListLabel 347"/>
    <w:qFormat/>
    <w:rPr>
      <w:rFonts w:cs="Courier New"/>
    </w:rPr>
  </w:style>
  <w:style w:type="character" w:customStyle="1" w:styleId="ListLabel348">
    <w:name w:val="ListLabel 348"/>
    <w:qFormat/>
    <w:rPr>
      <w:rFonts w:cs="Wingdings"/>
    </w:rPr>
  </w:style>
  <w:style w:type="character" w:customStyle="1" w:styleId="ListLabel349">
    <w:name w:val="ListLabel 349"/>
    <w:qFormat/>
    <w:rPr>
      <w:rFonts w:cs="Symbol"/>
    </w:rPr>
  </w:style>
  <w:style w:type="character" w:customStyle="1" w:styleId="ListLabel350">
    <w:name w:val="ListLabel 350"/>
    <w:qFormat/>
    <w:rPr>
      <w:rFonts w:ascii="Times New Roman" w:hAnsi="Times New Roman" w:cs="Symbol"/>
      <w:sz w:val="22"/>
    </w:rPr>
  </w:style>
  <w:style w:type="character" w:customStyle="1" w:styleId="ListLabel351">
    <w:name w:val="ListLabel 351"/>
    <w:qFormat/>
    <w:rPr>
      <w:rFonts w:cs="Wingdings"/>
    </w:rPr>
  </w:style>
  <w:style w:type="character" w:customStyle="1" w:styleId="ListLabel352">
    <w:name w:val="ListLabel 352"/>
    <w:qFormat/>
    <w:rPr>
      <w:rFonts w:cs="Symbol"/>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ascii="Times New Roman" w:hAnsi="Times New Roman" w:cs="Symbol"/>
      <w:sz w:val="22"/>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Symbol"/>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ascii="Times New Roman" w:hAnsi="Times New Roman" w:cs="TimesNewRomanPS-BoldMT"/>
      <w:sz w:val="22"/>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cs="Symbol"/>
      <w:sz w:val="22"/>
    </w:rPr>
  </w:style>
  <w:style w:type="character" w:customStyle="1" w:styleId="ListLabel377">
    <w:name w:val="ListLabel 377"/>
    <w:qFormat/>
    <w:rPr>
      <w:rFonts w:cs="Symbol"/>
      <w:sz w:val="22"/>
    </w:rPr>
  </w:style>
  <w:style w:type="character" w:customStyle="1" w:styleId="ListLabel378">
    <w:name w:val="ListLabel 378"/>
    <w:qFormat/>
    <w:rPr>
      <w:rFonts w:cs="Symbol"/>
    </w:rPr>
  </w:style>
  <w:style w:type="character" w:customStyle="1" w:styleId="ListLabel379">
    <w:name w:val="ListLabel 379"/>
    <w:qFormat/>
    <w:rPr>
      <w:rFonts w:ascii="Times New Roman" w:hAnsi="Times New Roman" w:cs="Wingdings"/>
      <w:b/>
      <w:i w:val="0"/>
      <w:color w:val="00000A"/>
      <w:sz w:val="22"/>
      <w:szCs w:val="16"/>
    </w:rPr>
  </w:style>
  <w:style w:type="character" w:customStyle="1" w:styleId="ListLabel380">
    <w:name w:val="ListLabel 380"/>
    <w:qFormat/>
    <w:rPr>
      <w:rFonts w:cs="Courier New"/>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ascii="Times New Roman" w:hAnsi="Times New Roman" w:cs="TimesNewRomanPS-BoldMT"/>
      <w:b/>
      <w:color w:val="00000A"/>
      <w:sz w:val="22"/>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Wingdings"/>
      <w:b w:val="0"/>
      <w:i/>
      <w:color w:val="00000A"/>
      <w:sz w:val="22"/>
      <w:u w:val="none" w:color="000000"/>
    </w:rPr>
  </w:style>
  <w:style w:type="character" w:customStyle="1" w:styleId="ListLabel398">
    <w:name w:val="ListLabel 398"/>
    <w:qFormat/>
    <w:rPr>
      <w:rFonts w:cs="Courier New"/>
      <w:sz w:val="20"/>
    </w:rPr>
  </w:style>
  <w:style w:type="character" w:customStyle="1" w:styleId="ListLabel399">
    <w:name w:val="ListLabel 399"/>
    <w:qFormat/>
    <w:rPr>
      <w:rFonts w:cs="Wingdings"/>
      <w:sz w:val="20"/>
    </w:rPr>
  </w:style>
  <w:style w:type="character" w:customStyle="1" w:styleId="ListLabel400">
    <w:name w:val="ListLabel 400"/>
    <w:qFormat/>
    <w:rPr>
      <w:rFonts w:cs="Wingdings"/>
      <w:sz w:val="20"/>
    </w:rPr>
  </w:style>
  <w:style w:type="character" w:customStyle="1" w:styleId="ListLabel401">
    <w:name w:val="ListLabel 401"/>
    <w:qFormat/>
    <w:rPr>
      <w:rFonts w:cs="Wingdings"/>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cs="Symbol"/>
      <w:sz w:val="22"/>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ascii="Times New Roman" w:hAnsi="Times New Roman" w:cs="Wingdings"/>
      <w:b/>
      <w:sz w:val="22"/>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ascii="Times New Roman" w:hAnsi="Times New Roman" w:cs="Wingdings"/>
      <w:b/>
      <w:sz w:val="22"/>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ascii="Times New Roman" w:hAnsi="Times New Roman" w:cs="Wingdings"/>
      <w:sz w:val="22"/>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Symbol"/>
      <w:sz w:val="22"/>
    </w:rPr>
  </w:style>
  <w:style w:type="character" w:customStyle="1" w:styleId="ListLabel443">
    <w:name w:val="ListLabel 443"/>
    <w:qFormat/>
    <w:rPr>
      <w:rFonts w:cs="Courier New"/>
      <w:sz w:val="20"/>
    </w:rPr>
  </w:style>
  <w:style w:type="character" w:customStyle="1" w:styleId="ListLabel444">
    <w:name w:val="ListLabel 444"/>
    <w:qFormat/>
    <w:rPr>
      <w:rFonts w:cs="Wingdings"/>
      <w:sz w:val="20"/>
    </w:rPr>
  </w:style>
  <w:style w:type="character" w:customStyle="1" w:styleId="ListLabel445">
    <w:name w:val="ListLabel 445"/>
    <w:qFormat/>
    <w:rPr>
      <w:rFonts w:cs="Wingdings"/>
      <w:sz w:val="20"/>
    </w:rPr>
  </w:style>
  <w:style w:type="character" w:customStyle="1" w:styleId="ListLabel446">
    <w:name w:val="ListLabel 446"/>
    <w:qFormat/>
    <w:rPr>
      <w:rFonts w:cs="Wingdings"/>
      <w:sz w:val="20"/>
    </w:rPr>
  </w:style>
  <w:style w:type="character" w:customStyle="1" w:styleId="ListLabel447">
    <w:name w:val="ListLabel 447"/>
    <w:qFormat/>
    <w:rPr>
      <w:rFonts w:cs="Wingdings"/>
      <w:sz w:val="20"/>
    </w:rPr>
  </w:style>
  <w:style w:type="character" w:customStyle="1" w:styleId="ListLabel448">
    <w:name w:val="ListLabel 448"/>
    <w:qFormat/>
    <w:rPr>
      <w:rFonts w:cs="Wingdings"/>
      <w:sz w:val="20"/>
    </w:rPr>
  </w:style>
  <w:style w:type="character" w:customStyle="1" w:styleId="ListLabel449">
    <w:name w:val="ListLabel 449"/>
    <w:qFormat/>
    <w:rPr>
      <w:rFonts w:cs="Wingdings"/>
      <w:sz w:val="20"/>
    </w:rPr>
  </w:style>
  <w:style w:type="character" w:customStyle="1" w:styleId="ListLabel450">
    <w:name w:val="ListLabel 450"/>
    <w:qFormat/>
    <w:rPr>
      <w:rFonts w:cs="Wingdings"/>
      <w:sz w:val="20"/>
    </w:rPr>
  </w:style>
  <w:style w:type="character" w:customStyle="1" w:styleId="ListLabel451">
    <w:name w:val="ListLabel 451"/>
    <w:qFormat/>
    <w:rPr>
      <w:rFonts w:ascii="Times New Roman" w:hAnsi="Times New Roman" w:cs="Wingdings"/>
      <w:sz w:val="22"/>
    </w:rPr>
  </w:style>
  <w:style w:type="character" w:customStyle="1" w:styleId="ListLabel452">
    <w:name w:val="ListLabel 452"/>
    <w:qFormat/>
    <w:rPr>
      <w:rFonts w:cs="Times New Roman"/>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ascii="Times New Roman" w:hAnsi="Times New Roman" w:cs="Symbol"/>
      <w:sz w:val="22"/>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ascii="Times New Roman" w:hAnsi="Times New Roman" w:cs="Symbol"/>
      <w:sz w:val="22"/>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ascii="Times New Roman" w:hAnsi="Times New Roman" w:cs="TimesNewRomanPS-BoldMT"/>
      <w:sz w:val="22"/>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sz w:val="22"/>
    </w:rPr>
  </w:style>
  <w:style w:type="character" w:customStyle="1" w:styleId="ListLabel488">
    <w:name w:val="ListLabel 488"/>
    <w:qFormat/>
    <w:rPr>
      <w:rFonts w:cs="Symbol"/>
      <w:sz w:val="22"/>
    </w:rPr>
  </w:style>
  <w:style w:type="character" w:customStyle="1" w:styleId="ListLabel489">
    <w:name w:val="ListLabel 489"/>
    <w:qFormat/>
    <w:rPr>
      <w:rFonts w:cs="Symbol"/>
    </w:rPr>
  </w:style>
  <w:style w:type="character" w:customStyle="1" w:styleId="ListLabel490">
    <w:name w:val="ListLabel 490"/>
    <w:qFormat/>
    <w:rPr>
      <w:rFonts w:ascii="Times New Roman" w:hAnsi="Times New Roman" w:cs="Wingdings"/>
      <w:b/>
      <w:i w:val="0"/>
      <w:color w:val="00000A"/>
      <w:sz w:val="22"/>
      <w:szCs w:val="16"/>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Symbol"/>
    </w:rPr>
  </w:style>
  <w:style w:type="character" w:customStyle="1" w:styleId="ListLabel497">
    <w:name w:val="ListLabel 497"/>
    <w:qFormat/>
    <w:rPr>
      <w:rFonts w:cs="Courier New"/>
    </w:rPr>
  </w:style>
  <w:style w:type="character" w:customStyle="1" w:styleId="ListLabel498">
    <w:name w:val="ListLabel 498"/>
    <w:qFormat/>
    <w:rPr>
      <w:rFonts w:cs="Wingdings"/>
    </w:rPr>
  </w:style>
  <w:style w:type="character" w:customStyle="1" w:styleId="ListLabel499">
    <w:name w:val="ListLabel 499"/>
    <w:qFormat/>
    <w:rPr>
      <w:rFonts w:ascii="Times New Roman" w:hAnsi="Times New Roman" w:cs="TimesNewRomanPS-BoldMT"/>
      <w:b/>
      <w:color w:val="00000A"/>
      <w:sz w:val="22"/>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cs="Symbol"/>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cs="Symbol"/>
    </w:rPr>
  </w:style>
  <w:style w:type="character" w:customStyle="1" w:styleId="ListLabel506">
    <w:name w:val="ListLabel 506"/>
    <w:qFormat/>
    <w:rPr>
      <w:rFonts w:cs="Courier New"/>
    </w:rPr>
  </w:style>
  <w:style w:type="character" w:customStyle="1" w:styleId="ListLabel507">
    <w:name w:val="ListLabel 507"/>
    <w:qFormat/>
    <w:rPr>
      <w:rFonts w:cs="Wingdings"/>
    </w:rPr>
  </w:style>
  <w:style w:type="character" w:customStyle="1" w:styleId="ListLabel508">
    <w:name w:val="ListLabel 508"/>
    <w:qFormat/>
    <w:rPr>
      <w:rFonts w:cs="Wingdings"/>
      <w:b w:val="0"/>
      <w:i/>
      <w:color w:val="00000A"/>
      <w:sz w:val="22"/>
      <w:u w:val="none" w:color="000000"/>
    </w:rPr>
  </w:style>
  <w:style w:type="character" w:customStyle="1" w:styleId="ListLabel509">
    <w:name w:val="ListLabel 509"/>
    <w:qFormat/>
    <w:rPr>
      <w:rFonts w:cs="Courier New"/>
      <w:sz w:val="20"/>
    </w:rPr>
  </w:style>
  <w:style w:type="character" w:customStyle="1" w:styleId="ListLabel510">
    <w:name w:val="ListLabel 510"/>
    <w:qFormat/>
    <w:rPr>
      <w:rFonts w:cs="Wingdings"/>
      <w:sz w:val="20"/>
    </w:rPr>
  </w:style>
  <w:style w:type="character" w:customStyle="1" w:styleId="ListLabel511">
    <w:name w:val="ListLabel 511"/>
    <w:qFormat/>
    <w:rPr>
      <w:rFonts w:cs="Wingdings"/>
      <w:sz w:val="20"/>
    </w:rPr>
  </w:style>
  <w:style w:type="character" w:customStyle="1" w:styleId="ListLabel512">
    <w:name w:val="ListLabel 512"/>
    <w:qFormat/>
    <w:rPr>
      <w:rFonts w:cs="Wingdings"/>
      <w:sz w:val="20"/>
    </w:rPr>
  </w:style>
  <w:style w:type="character" w:customStyle="1" w:styleId="ListLabel513">
    <w:name w:val="ListLabel 513"/>
    <w:qFormat/>
    <w:rPr>
      <w:rFonts w:cs="Wingdings"/>
      <w:sz w:val="20"/>
    </w:rPr>
  </w:style>
  <w:style w:type="character" w:customStyle="1" w:styleId="ListLabel514">
    <w:name w:val="ListLabel 514"/>
    <w:qFormat/>
    <w:rPr>
      <w:rFonts w:cs="Wingdings"/>
      <w:sz w:val="20"/>
    </w:rPr>
  </w:style>
  <w:style w:type="character" w:customStyle="1" w:styleId="ListLabel515">
    <w:name w:val="ListLabel 515"/>
    <w:qFormat/>
    <w:rPr>
      <w:rFonts w:cs="Wingdings"/>
      <w:sz w:val="20"/>
    </w:rPr>
  </w:style>
  <w:style w:type="character" w:customStyle="1" w:styleId="ListLabel516">
    <w:name w:val="ListLabel 516"/>
    <w:qFormat/>
    <w:rPr>
      <w:rFonts w:cs="Wingdings"/>
      <w:sz w:val="20"/>
    </w:rPr>
  </w:style>
  <w:style w:type="character" w:customStyle="1" w:styleId="ListLabel517">
    <w:name w:val="ListLabel 517"/>
    <w:qFormat/>
    <w:rPr>
      <w:rFonts w:cs="Symbol"/>
      <w:sz w:val="22"/>
    </w:rPr>
  </w:style>
  <w:style w:type="character" w:customStyle="1" w:styleId="ListLabel518">
    <w:name w:val="ListLabel 518"/>
    <w:qFormat/>
    <w:rPr>
      <w:rFonts w:cs="Courier New"/>
    </w:rPr>
  </w:style>
  <w:style w:type="character" w:customStyle="1" w:styleId="ListLabel519">
    <w:name w:val="ListLabel 519"/>
    <w:qFormat/>
    <w:rPr>
      <w:rFonts w:cs="Wingdings"/>
    </w:rPr>
  </w:style>
  <w:style w:type="character" w:customStyle="1" w:styleId="ListLabel520">
    <w:name w:val="ListLabel 520"/>
    <w:qFormat/>
    <w:rPr>
      <w:rFonts w:cs="Symbol"/>
    </w:rPr>
  </w:style>
  <w:style w:type="character" w:customStyle="1" w:styleId="ListLabel521">
    <w:name w:val="ListLabel 521"/>
    <w:qFormat/>
    <w:rPr>
      <w:rFonts w:cs="Courier New"/>
    </w:rPr>
  </w:style>
  <w:style w:type="character" w:customStyle="1" w:styleId="ListLabel522">
    <w:name w:val="ListLabel 522"/>
    <w:qFormat/>
    <w:rPr>
      <w:rFonts w:cs="Wingdings"/>
    </w:rPr>
  </w:style>
  <w:style w:type="character" w:customStyle="1" w:styleId="ListLabel523">
    <w:name w:val="ListLabel 523"/>
    <w:qFormat/>
    <w:rPr>
      <w:rFonts w:cs="Symbol"/>
    </w:rPr>
  </w:style>
  <w:style w:type="character" w:customStyle="1" w:styleId="ListLabel524">
    <w:name w:val="ListLabel 524"/>
    <w:qFormat/>
    <w:rPr>
      <w:rFonts w:cs="Courier New"/>
    </w:rPr>
  </w:style>
  <w:style w:type="character" w:customStyle="1" w:styleId="ListLabel525">
    <w:name w:val="ListLabel 525"/>
    <w:qFormat/>
    <w:rPr>
      <w:rFonts w:cs="Wingdings"/>
    </w:rPr>
  </w:style>
  <w:style w:type="character" w:customStyle="1" w:styleId="ListLabel526">
    <w:name w:val="ListLabel 526"/>
    <w:qFormat/>
    <w:rPr>
      <w:rFonts w:ascii="Times New Roman" w:hAnsi="Times New Roman" w:cs="Wingdings"/>
      <w:b/>
      <w:sz w:val="22"/>
    </w:rPr>
  </w:style>
  <w:style w:type="character" w:customStyle="1" w:styleId="ListLabel527">
    <w:name w:val="ListLabel 527"/>
    <w:qFormat/>
    <w:rPr>
      <w:rFonts w:cs="Courier New"/>
    </w:rPr>
  </w:style>
  <w:style w:type="character" w:customStyle="1" w:styleId="ListLabel528">
    <w:name w:val="ListLabel 528"/>
    <w:qFormat/>
    <w:rPr>
      <w:rFonts w:cs="Wingdings"/>
    </w:rPr>
  </w:style>
  <w:style w:type="character" w:customStyle="1" w:styleId="ListLabel529">
    <w:name w:val="ListLabel 529"/>
    <w:qFormat/>
    <w:rPr>
      <w:rFonts w:cs="Symbol"/>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ascii="Times New Roman" w:hAnsi="Times New Roman" w:cs="Wingdings"/>
      <w:b/>
      <w:sz w:val="22"/>
    </w:rPr>
  </w:style>
  <w:style w:type="character" w:customStyle="1" w:styleId="ListLabel536">
    <w:name w:val="ListLabel 536"/>
    <w:qFormat/>
    <w:rPr>
      <w:rFonts w:cs="Courier New"/>
    </w:rPr>
  </w:style>
  <w:style w:type="character" w:customStyle="1" w:styleId="ListLabel537">
    <w:name w:val="ListLabel 537"/>
    <w:qFormat/>
    <w:rPr>
      <w:rFonts w:cs="Wingdings"/>
    </w:rPr>
  </w:style>
  <w:style w:type="character" w:customStyle="1" w:styleId="ListLabel538">
    <w:name w:val="ListLabel 538"/>
    <w:qFormat/>
    <w:rPr>
      <w:rFonts w:cs="Symbol"/>
    </w:rPr>
  </w:style>
  <w:style w:type="character" w:customStyle="1" w:styleId="ListLabel539">
    <w:name w:val="ListLabel 539"/>
    <w:qFormat/>
    <w:rPr>
      <w:rFonts w:cs="Courier New"/>
    </w:rPr>
  </w:style>
  <w:style w:type="character" w:customStyle="1" w:styleId="ListLabel540">
    <w:name w:val="ListLabel 540"/>
    <w:qFormat/>
    <w:rPr>
      <w:rFonts w:cs="Wingdings"/>
    </w:rPr>
  </w:style>
  <w:style w:type="character" w:customStyle="1" w:styleId="ListLabel541">
    <w:name w:val="ListLabel 541"/>
    <w:qFormat/>
    <w:rPr>
      <w:rFonts w:cs="Symbol"/>
    </w:rPr>
  </w:style>
  <w:style w:type="character" w:customStyle="1" w:styleId="ListLabel542">
    <w:name w:val="ListLabel 542"/>
    <w:qFormat/>
    <w:rPr>
      <w:rFonts w:cs="Courier New"/>
    </w:rPr>
  </w:style>
  <w:style w:type="character" w:customStyle="1" w:styleId="ListLabel543">
    <w:name w:val="ListLabel 543"/>
    <w:qFormat/>
    <w:rPr>
      <w:rFonts w:cs="Wingdings"/>
    </w:rPr>
  </w:style>
  <w:style w:type="character" w:customStyle="1" w:styleId="ListLabel544">
    <w:name w:val="ListLabel 544"/>
    <w:qFormat/>
    <w:rPr>
      <w:rFonts w:ascii="Times New Roman" w:hAnsi="Times New Roman" w:cs="Wingdings"/>
      <w:sz w:val="22"/>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cs="Symbol"/>
    </w:rPr>
  </w:style>
  <w:style w:type="character" w:customStyle="1" w:styleId="ListLabel548">
    <w:name w:val="ListLabel 548"/>
    <w:qFormat/>
    <w:rPr>
      <w:rFonts w:cs="Courier New"/>
    </w:rPr>
  </w:style>
  <w:style w:type="character" w:customStyle="1" w:styleId="ListLabel549">
    <w:name w:val="ListLabel 549"/>
    <w:qFormat/>
    <w:rPr>
      <w:rFonts w:cs="Wingdings"/>
    </w:rPr>
  </w:style>
  <w:style w:type="character" w:customStyle="1" w:styleId="ListLabel550">
    <w:name w:val="ListLabel 550"/>
    <w:qFormat/>
    <w:rPr>
      <w:rFonts w:cs="Symbol"/>
    </w:rPr>
  </w:style>
  <w:style w:type="character" w:customStyle="1" w:styleId="ListLabel551">
    <w:name w:val="ListLabel 551"/>
    <w:qFormat/>
    <w:rPr>
      <w:rFonts w:cs="Courier New"/>
    </w:rPr>
  </w:style>
  <w:style w:type="character" w:customStyle="1" w:styleId="ListLabel552">
    <w:name w:val="ListLabel 552"/>
    <w:qFormat/>
    <w:rPr>
      <w:rFonts w:cs="Wingdings"/>
    </w:rPr>
  </w:style>
  <w:style w:type="character" w:customStyle="1" w:styleId="ListLabel553">
    <w:name w:val="ListLabel 553"/>
    <w:qFormat/>
    <w:rPr>
      <w:rFonts w:cs="Symbol"/>
      <w:sz w:val="22"/>
    </w:rPr>
  </w:style>
  <w:style w:type="character" w:customStyle="1" w:styleId="ListLabel554">
    <w:name w:val="ListLabel 554"/>
    <w:qFormat/>
    <w:rPr>
      <w:rFonts w:cs="Courier New"/>
      <w:sz w:val="20"/>
    </w:rPr>
  </w:style>
  <w:style w:type="character" w:customStyle="1" w:styleId="ListLabel555">
    <w:name w:val="ListLabel 555"/>
    <w:qFormat/>
    <w:rPr>
      <w:rFonts w:cs="Wingdings"/>
      <w:sz w:val="20"/>
    </w:rPr>
  </w:style>
  <w:style w:type="character" w:customStyle="1" w:styleId="ListLabel556">
    <w:name w:val="ListLabel 556"/>
    <w:qFormat/>
    <w:rPr>
      <w:rFonts w:cs="Wingdings"/>
      <w:sz w:val="20"/>
    </w:rPr>
  </w:style>
  <w:style w:type="character" w:customStyle="1" w:styleId="ListLabel557">
    <w:name w:val="ListLabel 557"/>
    <w:qFormat/>
    <w:rPr>
      <w:rFonts w:cs="Wingdings"/>
      <w:sz w:val="20"/>
    </w:rPr>
  </w:style>
  <w:style w:type="character" w:customStyle="1" w:styleId="ListLabel558">
    <w:name w:val="ListLabel 558"/>
    <w:qFormat/>
    <w:rPr>
      <w:rFonts w:cs="Wingdings"/>
      <w:sz w:val="20"/>
    </w:rPr>
  </w:style>
  <w:style w:type="character" w:customStyle="1" w:styleId="ListLabel559">
    <w:name w:val="ListLabel 559"/>
    <w:qFormat/>
    <w:rPr>
      <w:rFonts w:cs="Wingdings"/>
      <w:sz w:val="20"/>
    </w:rPr>
  </w:style>
  <w:style w:type="character" w:customStyle="1" w:styleId="ListLabel560">
    <w:name w:val="ListLabel 560"/>
    <w:qFormat/>
    <w:rPr>
      <w:rFonts w:cs="Wingdings"/>
      <w:sz w:val="20"/>
    </w:rPr>
  </w:style>
  <w:style w:type="character" w:customStyle="1" w:styleId="ListLabel561">
    <w:name w:val="ListLabel 561"/>
    <w:qFormat/>
    <w:rPr>
      <w:rFonts w:cs="Wingdings"/>
      <w:sz w:val="20"/>
    </w:rPr>
  </w:style>
  <w:style w:type="character" w:customStyle="1" w:styleId="ListLabel562">
    <w:name w:val="ListLabel 562"/>
    <w:qFormat/>
    <w:rPr>
      <w:rFonts w:ascii="Times New Roman" w:hAnsi="Times New Roman" w:cs="Wingdings"/>
      <w:sz w:val="22"/>
    </w:rPr>
  </w:style>
  <w:style w:type="character" w:customStyle="1" w:styleId="ListLabel563">
    <w:name w:val="ListLabel 563"/>
    <w:qFormat/>
    <w:rPr>
      <w:rFonts w:cs="Times New Roman"/>
    </w:rPr>
  </w:style>
  <w:style w:type="character" w:customStyle="1" w:styleId="ListLabel564">
    <w:name w:val="ListLabel 564"/>
    <w:qFormat/>
    <w:rPr>
      <w:rFonts w:cs="Wingdings"/>
    </w:rPr>
  </w:style>
  <w:style w:type="character" w:customStyle="1" w:styleId="ListLabel565">
    <w:name w:val="ListLabel 565"/>
    <w:qFormat/>
    <w:rPr>
      <w:rFonts w:cs="Symbol"/>
    </w:rPr>
  </w:style>
  <w:style w:type="character" w:customStyle="1" w:styleId="ListLabel566">
    <w:name w:val="ListLabel 566"/>
    <w:qFormat/>
    <w:rPr>
      <w:rFonts w:cs="Courier New"/>
    </w:rPr>
  </w:style>
  <w:style w:type="character" w:customStyle="1" w:styleId="ListLabel567">
    <w:name w:val="ListLabel 567"/>
    <w:qFormat/>
    <w:rPr>
      <w:rFonts w:cs="Wingdings"/>
    </w:rPr>
  </w:style>
  <w:style w:type="character" w:customStyle="1" w:styleId="ListLabel568">
    <w:name w:val="ListLabel 568"/>
    <w:qFormat/>
    <w:rPr>
      <w:rFonts w:cs="Symbol"/>
    </w:rPr>
  </w:style>
  <w:style w:type="character" w:customStyle="1" w:styleId="ListLabel569">
    <w:name w:val="ListLabel 569"/>
    <w:qFormat/>
    <w:rPr>
      <w:rFonts w:cs="Courier New"/>
    </w:rPr>
  </w:style>
  <w:style w:type="character" w:customStyle="1" w:styleId="ListLabel570">
    <w:name w:val="ListLabel 570"/>
    <w:qFormat/>
    <w:rPr>
      <w:rFonts w:cs="Wingdings"/>
    </w:rPr>
  </w:style>
  <w:style w:type="character" w:customStyle="1" w:styleId="ListLabel571">
    <w:name w:val="ListLabel 571"/>
    <w:qFormat/>
    <w:rPr>
      <w:rFonts w:cs="Symbol"/>
    </w:rPr>
  </w:style>
  <w:style w:type="character" w:customStyle="1" w:styleId="ListLabel572">
    <w:name w:val="ListLabel 572"/>
    <w:qFormat/>
    <w:rPr>
      <w:rFonts w:ascii="Times New Roman" w:hAnsi="Times New Roman" w:cs="Symbol"/>
      <w:sz w:val="22"/>
    </w:rPr>
  </w:style>
  <w:style w:type="character" w:customStyle="1" w:styleId="ListLabel573">
    <w:name w:val="ListLabel 573"/>
    <w:qFormat/>
    <w:rPr>
      <w:rFonts w:cs="Wingdings"/>
    </w:rPr>
  </w:style>
  <w:style w:type="character" w:customStyle="1" w:styleId="ListLabel574">
    <w:name w:val="ListLabel 574"/>
    <w:qFormat/>
    <w:rPr>
      <w:rFonts w:cs="Symbol"/>
    </w:rPr>
  </w:style>
  <w:style w:type="character" w:customStyle="1" w:styleId="ListLabel575">
    <w:name w:val="ListLabel 575"/>
    <w:qFormat/>
    <w:rPr>
      <w:rFonts w:cs="Courier New"/>
    </w:rPr>
  </w:style>
  <w:style w:type="character" w:customStyle="1" w:styleId="ListLabel576">
    <w:name w:val="ListLabel 576"/>
    <w:qFormat/>
    <w:rPr>
      <w:rFonts w:cs="Wingdings"/>
    </w:rPr>
  </w:style>
  <w:style w:type="character" w:customStyle="1" w:styleId="ListLabel577">
    <w:name w:val="ListLabel 577"/>
    <w:qFormat/>
    <w:rPr>
      <w:rFonts w:cs="Symbol"/>
    </w:rPr>
  </w:style>
  <w:style w:type="character" w:customStyle="1" w:styleId="ListLabel578">
    <w:name w:val="ListLabel 578"/>
    <w:qFormat/>
    <w:rPr>
      <w:rFonts w:cs="Courier New"/>
    </w:rPr>
  </w:style>
  <w:style w:type="character" w:customStyle="1" w:styleId="ListLabel579">
    <w:name w:val="ListLabel 579"/>
    <w:qFormat/>
    <w:rPr>
      <w:rFonts w:cs="Wingdings"/>
    </w:rPr>
  </w:style>
  <w:style w:type="character" w:customStyle="1" w:styleId="ListLabel580">
    <w:name w:val="ListLabel 580"/>
    <w:qFormat/>
    <w:rPr>
      <w:rFonts w:ascii="Times New Roman" w:hAnsi="Times New Roman" w:cs="Symbol"/>
      <w:sz w:val="22"/>
    </w:rPr>
  </w:style>
  <w:style w:type="character" w:customStyle="1" w:styleId="ListLabel581">
    <w:name w:val="ListLabel 581"/>
    <w:qFormat/>
    <w:rPr>
      <w:rFonts w:cs="Courier New"/>
    </w:rPr>
  </w:style>
  <w:style w:type="character" w:customStyle="1" w:styleId="ListLabel582">
    <w:name w:val="ListLabel 582"/>
    <w:qFormat/>
    <w:rPr>
      <w:rFonts w:cs="Wingdings"/>
    </w:rPr>
  </w:style>
  <w:style w:type="character" w:customStyle="1" w:styleId="ListLabel583">
    <w:name w:val="ListLabel 583"/>
    <w:qFormat/>
    <w:rPr>
      <w:rFonts w:cs="Symbol"/>
    </w:rPr>
  </w:style>
  <w:style w:type="character" w:customStyle="1" w:styleId="ListLabel584">
    <w:name w:val="ListLabel 584"/>
    <w:qFormat/>
    <w:rPr>
      <w:rFonts w:cs="Courier New"/>
    </w:rPr>
  </w:style>
  <w:style w:type="character" w:customStyle="1" w:styleId="ListLabel585">
    <w:name w:val="ListLabel 585"/>
    <w:qFormat/>
    <w:rPr>
      <w:rFonts w:cs="Wingdings"/>
    </w:rPr>
  </w:style>
  <w:style w:type="character" w:customStyle="1" w:styleId="ListLabel586">
    <w:name w:val="ListLabel 586"/>
    <w:qFormat/>
    <w:rPr>
      <w:rFonts w:cs="Symbol"/>
    </w:rPr>
  </w:style>
  <w:style w:type="character" w:customStyle="1" w:styleId="ListLabel587">
    <w:name w:val="ListLabel 587"/>
    <w:qFormat/>
    <w:rPr>
      <w:rFonts w:cs="Courier New"/>
    </w:rPr>
  </w:style>
  <w:style w:type="character" w:customStyle="1" w:styleId="ListLabel588">
    <w:name w:val="ListLabel 588"/>
    <w:qFormat/>
    <w:rPr>
      <w:rFonts w:cs="Wingdings"/>
    </w:rPr>
  </w:style>
  <w:style w:type="character" w:customStyle="1" w:styleId="ListLabel589">
    <w:name w:val="ListLabel 589"/>
    <w:qFormat/>
    <w:rPr>
      <w:rFonts w:ascii="Times New Roman" w:hAnsi="Times New Roman" w:cs="TimesNewRomanPS-BoldMT"/>
      <w:sz w:val="22"/>
    </w:rPr>
  </w:style>
  <w:style w:type="character" w:customStyle="1" w:styleId="ListLabel590">
    <w:name w:val="ListLabel 590"/>
    <w:qFormat/>
    <w:rPr>
      <w:rFonts w:cs="Courier New"/>
    </w:rPr>
  </w:style>
  <w:style w:type="character" w:customStyle="1" w:styleId="ListLabel591">
    <w:name w:val="ListLabel 591"/>
    <w:qFormat/>
    <w:rPr>
      <w:rFonts w:cs="Wingdings"/>
    </w:rPr>
  </w:style>
  <w:style w:type="character" w:customStyle="1" w:styleId="ListLabel592">
    <w:name w:val="ListLabel 592"/>
    <w:qFormat/>
    <w:rPr>
      <w:rFonts w:cs="Symbol"/>
    </w:rPr>
  </w:style>
  <w:style w:type="character" w:customStyle="1" w:styleId="ListLabel593">
    <w:name w:val="ListLabel 593"/>
    <w:qFormat/>
    <w:rPr>
      <w:rFonts w:cs="Courier New"/>
    </w:rPr>
  </w:style>
  <w:style w:type="character" w:customStyle="1" w:styleId="ListLabel594">
    <w:name w:val="ListLabel 594"/>
    <w:qFormat/>
    <w:rPr>
      <w:rFonts w:cs="Wingdings"/>
    </w:rPr>
  </w:style>
  <w:style w:type="character" w:customStyle="1" w:styleId="ListLabel595">
    <w:name w:val="ListLabel 595"/>
    <w:qFormat/>
    <w:rPr>
      <w:rFonts w:cs="Symbol"/>
    </w:rPr>
  </w:style>
  <w:style w:type="character" w:customStyle="1" w:styleId="ListLabel596">
    <w:name w:val="ListLabel 596"/>
    <w:qFormat/>
    <w:rPr>
      <w:rFonts w:cs="Courier New"/>
    </w:rPr>
  </w:style>
  <w:style w:type="character" w:customStyle="1" w:styleId="ListLabel597">
    <w:name w:val="ListLabel 597"/>
    <w:qFormat/>
    <w:rPr>
      <w:rFonts w:cs="Wingdings"/>
    </w:rPr>
  </w:style>
  <w:style w:type="character" w:customStyle="1" w:styleId="ListLabel598">
    <w:name w:val="ListLabel 598"/>
    <w:qFormat/>
    <w:rPr>
      <w:rFonts w:cs="Symbol"/>
      <w:sz w:val="22"/>
    </w:rPr>
  </w:style>
  <w:style w:type="character" w:customStyle="1" w:styleId="ListLabel599">
    <w:name w:val="ListLabel 599"/>
    <w:qFormat/>
    <w:rPr>
      <w:rFonts w:cs="Symbol"/>
      <w:sz w:val="22"/>
    </w:rPr>
  </w:style>
  <w:style w:type="character" w:customStyle="1" w:styleId="ListLabel600">
    <w:name w:val="ListLabel 600"/>
    <w:qFormat/>
    <w:rPr>
      <w:rFonts w:cs="Symbol"/>
    </w:rPr>
  </w:style>
  <w:style w:type="character" w:customStyle="1" w:styleId="ListLabel601">
    <w:name w:val="ListLabel 601"/>
    <w:qFormat/>
    <w:rPr>
      <w:rFonts w:ascii="Times New Roman" w:hAnsi="Times New Roman" w:cs="Wingdings"/>
      <w:b/>
      <w:i w:val="0"/>
      <w:color w:val="00000A"/>
      <w:sz w:val="22"/>
      <w:szCs w:val="16"/>
    </w:rPr>
  </w:style>
  <w:style w:type="character" w:customStyle="1" w:styleId="ListLabel602">
    <w:name w:val="ListLabel 602"/>
    <w:qFormat/>
    <w:rPr>
      <w:rFonts w:cs="Courier New"/>
    </w:rPr>
  </w:style>
  <w:style w:type="character" w:customStyle="1" w:styleId="ListLabel603">
    <w:name w:val="ListLabel 603"/>
    <w:qFormat/>
    <w:rPr>
      <w:rFonts w:cs="Wingdings"/>
    </w:rPr>
  </w:style>
  <w:style w:type="character" w:customStyle="1" w:styleId="ListLabel604">
    <w:name w:val="ListLabel 604"/>
    <w:qFormat/>
    <w:rPr>
      <w:rFonts w:cs="Symbol"/>
    </w:rPr>
  </w:style>
  <w:style w:type="character" w:customStyle="1" w:styleId="ListLabel605">
    <w:name w:val="ListLabel 605"/>
    <w:qFormat/>
    <w:rPr>
      <w:rFonts w:cs="Courier New"/>
    </w:rPr>
  </w:style>
  <w:style w:type="character" w:customStyle="1" w:styleId="ListLabel606">
    <w:name w:val="ListLabel 606"/>
    <w:qFormat/>
    <w:rPr>
      <w:rFonts w:cs="Wingdings"/>
    </w:rPr>
  </w:style>
  <w:style w:type="character" w:customStyle="1" w:styleId="ListLabel607">
    <w:name w:val="ListLabel 607"/>
    <w:qFormat/>
    <w:rPr>
      <w:rFonts w:cs="Symbol"/>
    </w:rPr>
  </w:style>
  <w:style w:type="character" w:customStyle="1" w:styleId="ListLabel608">
    <w:name w:val="ListLabel 608"/>
    <w:qFormat/>
    <w:rPr>
      <w:rFonts w:cs="Courier New"/>
    </w:rPr>
  </w:style>
  <w:style w:type="character" w:customStyle="1" w:styleId="ListLabel609">
    <w:name w:val="ListLabel 609"/>
    <w:qFormat/>
    <w:rPr>
      <w:rFonts w:cs="Wingdings"/>
    </w:rPr>
  </w:style>
  <w:style w:type="character" w:customStyle="1" w:styleId="ListLabel610">
    <w:name w:val="ListLabel 610"/>
    <w:qFormat/>
    <w:rPr>
      <w:rFonts w:ascii="Times New Roman" w:hAnsi="Times New Roman" w:cs="TimesNewRomanPS-BoldMT"/>
      <w:b/>
      <w:color w:val="00000A"/>
      <w:sz w:val="22"/>
    </w:rPr>
  </w:style>
  <w:style w:type="character" w:customStyle="1" w:styleId="ListLabel611">
    <w:name w:val="ListLabel 611"/>
    <w:qFormat/>
    <w:rPr>
      <w:rFonts w:cs="Courier New"/>
    </w:rPr>
  </w:style>
  <w:style w:type="character" w:customStyle="1" w:styleId="ListLabel612">
    <w:name w:val="ListLabel 612"/>
    <w:qFormat/>
    <w:rPr>
      <w:rFonts w:cs="Wingdings"/>
    </w:rPr>
  </w:style>
  <w:style w:type="character" w:customStyle="1" w:styleId="ListLabel613">
    <w:name w:val="ListLabel 613"/>
    <w:qFormat/>
    <w:rPr>
      <w:rFonts w:cs="Symbol"/>
    </w:rPr>
  </w:style>
  <w:style w:type="character" w:customStyle="1" w:styleId="ListLabel614">
    <w:name w:val="ListLabel 614"/>
    <w:qFormat/>
    <w:rPr>
      <w:rFonts w:cs="Courier New"/>
    </w:rPr>
  </w:style>
  <w:style w:type="character" w:customStyle="1" w:styleId="ListLabel615">
    <w:name w:val="ListLabel 615"/>
    <w:qFormat/>
    <w:rPr>
      <w:rFonts w:cs="Wingdings"/>
    </w:rPr>
  </w:style>
  <w:style w:type="character" w:customStyle="1" w:styleId="ListLabel616">
    <w:name w:val="ListLabel 616"/>
    <w:qFormat/>
    <w:rPr>
      <w:rFonts w:cs="Symbol"/>
    </w:rPr>
  </w:style>
  <w:style w:type="character" w:customStyle="1" w:styleId="ListLabel617">
    <w:name w:val="ListLabel 617"/>
    <w:qFormat/>
    <w:rPr>
      <w:rFonts w:cs="Courier New"/>
    </w:rPr>
  </w:style>
  <w:style w:type="character" w:customStyle="1" w:styleId="ListLabel618">
    <w:name w:val="ListLabel 618"/>
    <w:qFormat/>
    <w:rPr>
      <w:rFonts w:cs="Wingdings"/>
    </w:rPr>
  </w:style>
  <w:style w:type="character" w:customStyle="1" w:styleId="ListLabel619">
    <w:name w:val="ListLabel 619"/>
    <w:qFormat/>
    <w:rPr>
      <w:rFonts w:cs="Wingdings"/>
      <w:b w:val="0"/>
      <w:i/>
      <w:color w:val="00000A"/>
      <w:sz w:val="22"/>
      <w:u w:val="none" w:color="000000"/>
    </w:rPr>
  </w:style>
  <w:style w:type="character" w:customStyle="1" w:styleId="ListLabel620">
    <w:name w:val="ListLabel 620"/>
    <w:qFormat/>
    <w:rPr>
      <w:rFonts w:cs="Courier New"/>
      <w:sz w:val="20"/>
    </w:rPr>
  </w:style>
  <w:style w:type="character" w:customStyle="1" w:styleId="ListLabel621">
    <w:name w:val="ListLabel 621"/>
    <w:qFormat/>
    <w:rPr>
      <w:rFonts w:cs="Wingdings"/>
      <w:sz w:val="20"/>
    </w:rPr>
  </w:style>
  <w:style w:type="character" w:customStyle="1" w:styleId="ListLabel622">
    <w:name w:val="ListLabel 622"/>
    <w:qFormat/>
    <w:rPr>
      <w:rFonts w:cs="Wingdings"/>
      <w:sz w:val="20"/>
    </w:rPr>
  </w:style>
  <w:style w:type="character" w:customStyle="1" w:styleId="ListLabel623">
    <w:name w:val="ListLabel 623"/>
    <w:qFormat/>
    <w:rPr>
      <w:rFonts w:cs="Wingdings"/>
      <w:sz w:val="20"/>
    </w:rPr>
  </w:style>
  <w:style w:type="character" w:customStyle="1" w:styleId="ListLabel624">
    <w:name w:val="ListLabel 624"/>
    <w:qFormat/>
    <w:rPr>
      <w:rFonts w:cs="Wingdings"/>
      <w:sz w:val="20"/>
    </w:rPr>
  </w:style>
  <w:style w:type="character" w:customStyle="1" w:styleId="ListLabel625">
    <w:name w:val="ListLabel 625"/>
    <w:qFormat/>
    <w:rPr>
      <w:rFonts w:cs="Wingdings"/>
      <w:sz w:val="20"/>
    </w:rPr>
  </w:style>
  <w:style w:type="character" w:customStyle="1" w:styleId="ListLabel626">
    <w:name w:val="ListLabel 626"/>
    <w:qFormat/>
    <w:rPr>
      <w:rFonts w:cs="Wingdings"/>
      <w:sz w:val="20"/>
    </w:rPr>
  </w:style>
  <w:style w:type="character" w:customStyle="1" w:styleId="ListLabel627">
    <w:name w:val="ListLabel 627"/>
    <w:qFormat/>
    <w:rPr>
      <w:rFonts w:cs="Wingdings"/>
      <w:sz w:val="20"/>
    </w:rPr>
  </w:style>
  <w:style w:type="character" w:customStyle="1" w:styleId="Smbolosdenumerao">
    <w:name w:val="Símbolos de numeração"/>
    <w:qFormat/>
  </w:style>
  <w:style w:type="character" w:customStyle="1" w:styleId="ListLabel628">
    <w:name w:val="ListLabel 628"/>
    <w:qFormat/>
    <w:rPr>
      <w:rFonts w:cs="Symbol"/>
      <w:sz w:val="22"/>
    </w:rPr>
  </w:style>
  <w:style w:type="character" w:customStyle="1" w:styleId="ListLabel629">
    <w:name w:val="ListLabel 629"/>
    <w:qFormat/>
    <w:rPr>
      <w:rFonts w:cs="Courier New"/>
    </w:rPr>
  </w:style>
  <w:style w:type="character" w:customStyle="1" w:styleId="ListLabel630">
    <w:name w:val="ListLabel 630"/>
    <w:qFormat/>
    <w:rPr>
      <w:rFonts w:cs="Wingdings"/>
    </w:rPr>
  </w:style>
  <w:style w:type="character" w:customStyle="1" w:styleId="ListLabel631">
    <w:name w:val="ListLabel 631"/>
    <w:qFormat/>
    <w:rPr>
      <w:rFonts w:cs="Symbol"/>
    </w:rPr>
  </w:style>
  <w:style w:type="character" w:customStyle="1" w:styleId="ListLabel632">
    <w:name w:val="ListLabel 632"/>
    <w:qFormat/>
    <w:rPr>
      <w:rFonts w:cs="Courier New"/>
    </w:rPr>
  </w:style>
  <w:style w:type="character" w:customStyle="1" w:styleId="ListLabel633">
    <w:name w:val="ListLabel 633"/>
    <w:qFormat/>
    <w:rPr>
      <w:rFonts w:cs="Wingdings"/>
    </w:rPr>
  </w:style>
  <w:style w:type="character" w:customStyle="1" w:styleId="ListLabel634">
    <w:name w:val="ListLabel 634"/>
    <w:qFormat/>
    <w:rPr>
      <w:rFonts w:cs="Symbol"/>
    </w:rPr>
  </w:style>
  <w:style w:type="character" w:customStyle="1" w:styleId="ListLabel635">
    <w:name w:val="ListLabel 635"/>
    <w:qFormat/>
    <w:rPr>
      <w:rFonts w:cs="Courier New"/>
    </w:rPr>
  </w:style>
  <w:style w:type="character" w:customStyle="1" w:styleId="ListLabel636">
    <w:name w:val="ListLabel 636"/>
    <w:qFormat/>
    <w:rPr>
      <w:rFonts w:cs="Wingdings"/>
    </w:rPr>
  </w:style>
  <w:style w:type="character" w:customStyle="1" w:styleId="ListLabel637">
    <w:name w:val="ListLabel 637"/>
    <w:qFormat/>
    <w:rPr>
      <w:rFonts w:ascii="Times New Roman" w:hAnsi="Times New Roman" w:cs="Wingdings"/>
      <w:b/>
      <w:sz w:val="22"/>
    </w:rPr>
  </w:style>
  <w:style w:type="character" w:customStyle="1" w:styleId="ListLabel638">
    <w:name w:val="ListLabel 638"/>
    <w:qFormat/>
    <w:rPr>
      <w:rFonts w:cs="Courier New"/>
    </w:rPr>
  </w:style>
  <w:style w:type="character" w:customStyle="1" w:styleId="ListLabel639">
    <w:name w:val="ListLabel 639"/>
    <w:qFormat/>
    <w:rPr>
      <w:rFonts w:cs="Wingdings"/>
    </w:rPr>
  </w:style>
  <w:style w:type="character" w:customStyle="1" w:styleId="ListLabel640">
    <w:name w:val="ListLabel 640"/>
    <w:qFormat/>
    <w:rPr>
      <w:rFonts w:cs="Symbol"/>
    </w:rPr>
  </w:style>
  <w:style w:type="character" w:customStyle="1" w:styleId="ListLabel641">
    <w:name w:val="ListLabel 641"/>
    <w:qFormat/>
    <w:rPr>
      <w:rFonts w:cs="Courier New"/>
    </w:rPr>
  </w:style>
  <w:style w:type="character" w:customStyle="1" w:styleId="ListLabel642">
    <w:name w:val="ListLabel 642"/>
    <w:qFormat/>
    <w:rPr>
      <w:rFonts w:cs="Wingdings"/>
    </w:rPr>
  </w:style>
  <w:style w:type="character" w:customStyle="1" w:styleId="ListLabel643">
    <w:name w:val="ListLabel 643"/>
    <w:qFormat/>
    <w:rPr>
      <w:rFonts w:cs="Symbol"/>
    </w:rPr>
  </w:style>
  <w:style w:type="character" w:customStyle="1" w:styleId="ListLabel644">
    <w:name w:val="ListLabel 644"/>
    <w:qFormat/>
    <w:rPr>
      <w:rFonts w:cs="Courier New"/>
    </w:rPr>
  </w:style>
  <w:style w:type="character" w:customStyle="1" w:styleId="ListLabel645">
    <w:name w:val="ListLabel 645"/>
    <w:qFormat/>
    <w:rPr>
      <w:rFonts w:cs="Wingdings"/>
    </w:rPr>
  </w:style>
  <w:style w:type="character" w:customStyle="1" w:styleId="ListLabel646">
    <w:name w:val="ListLabel 646"/>
    <w:qFormat/>
    <w:rPr>
      <w:rFonts w:ascii="Times New Roman" w:hAnsi="Times New Roman" w:cs="Wingdings"/>
      <w:b/>
      <w:sz w:val="22"/>
    </w:rPr>
  </w:style>
  <w:style w:type="character" w:customStyle="1" w:styleId="ListLabel647">
    <w:name w:val="ListLabel 647"/>
    <w:qFormat/>
    <w:rPr>
      <w:rFonts w:cs="Courier New"/>
    </w:rPr>
  </w:style>
  <w:style w:type="character" w:customStyle="1" w:styleId="ListLabel648">
    <w:name w:val="ListLabel 648"/>
    <w:qFormat/>
    <w:rPr>
      <w:rFonts w:cs="Wingdings"/>
    </w:rPr>
  </w:style>
  <w:style w:type="character" w:customStyle="1" w:styleId="ListLabel649">
    <w:name w:val="ListLabel 649"/>
    <w:qFormat/>
    <w:rPr>
      <w:rFonts w:cs="Symbol"/>
    </w:rPr>
  </w:style>
  <w:style w:type="character" w:customStyle="1" w:styleId="ListLabel650">
    <w:name w:val="ListLabel 650"/>
    <w:qFormat/>
    <w:rPr>
      <w:rFonts w:cs="Courier New"/>
    </w:rPr>
  </w:style>
  <w:style w:type="character" w:customStyle="1" w:styleId="ListLabel651">
    <w:name w:val="ListLabel 651"/>
    <w:qFormat/>
    <w:rPr>
      <w:rFonts w:cs="Wingdings"/>
    </w:rPr>
  </w:style>
  <w:style w:type="character" w:customStyle="1" w:styleId="ListLabel652">
    <w:name w:val="ListLabel 652"/>
    <w:qFormat/>
    <w:rPr>
      <w:rFonts w:cs="Symbol"/>
    </w:rPr>
  </w:style>
  <w:style w:type="character" w:customStyle="1" w:styleId="ListLabel653">
    <w:name w:val="ListLabel 653"/>
    <w:qFormat/>
    <w:rPr>
      <w:rFonts w:cs="Courier New"/>
    </w:rPr>
  </w:style>
  <w:style w:type="character" w:customStyle="1" w:styleId="ListLabel654">
    <w:name w:val="ListLabel 654"/>
    <w:qFormat/>
    <w:rPr>
      <w:rFonts w:cs="Wingdings"/>
    </w:rPr>
  </w:style>
  <w:style w:type="character" w:customStyle="1" w:styleId="ListLabel655">
    <w:name w:val="ListLabel 655"/>
    <w:qFormat/>
    <w:rPr>
      <w:rFonts w:ascii="Times New Roman" w:hAnsi="Times New Roman" w:cs="Wingdings"/>
      <w:sz w:val="22"/>
    </w:rPr>
  </w:style>
  <w:style w:type="character" w:customStyle="1" w:styleId="ListLabel656">
    <w:name w:val="ListLabel 656"/>
    <w:qFormat/>
    <w:rPr>
      <w:rFonts w:cs="Courier New"/>
    </w:rPr>
  </w:style>
  <w:style w:type="character" w:customStyle="1" w:styleId="ListLabel657">
    <w:name w:val="ListLabel 657"/>
    <w:qFormat/>
    <w:rPr>
      <w:rFonts w:cs="Wingdings"/>
    </w:rPr>
  </w:style>
  <w:style w:type="character" w:customStyle="1" w:styleId="ListLabel658">
    <w:name w:val="ListLabel 658"/>
    <w:qFormat/>
    <w:rPr>
      <w:rFonts w:cs="Symbol"/>
    </w:rPr>
  </w:style>
  <w:style w:type="character" w:customStyle="1" w:styleId="ListLabel659">
    <w:name w:val="ListLabel 659"/>
    <w:qFormat/>
    <w:rPr>
      <w:rFonts w:cs="Courier New"/>
    </w:rPr>
  </w:style>
  <w:style w:type="character" w:customStyle="1" w:styleId="ListLabel660">
    <w:name w:val="ListLabel 660"/>
    <w:qFormat/>
    <w:rPr>
      <w:rFonts w:cs="Wingdings"/>
    </w:rPr>
  </w:style>
  <w:style w:type="character" w:customStyle="1" w:styleId="ListLabel661">
    <w:name w:val="ListLabel 661"/>
    <w:qFormat/>
    <w:rPr>
      <w:rFonts w:cs="Symbol"/>
    </w:rPr>
  </w:style>
  <w:style w:type="character" w:customStyle="1" w:styleId="ListLabel662">
    <w:name w:val="ListLabel 662"/>
    <w:qFormat/>
    <w:rPr>
      <w:rFonts w:cs="Courier New"/>
    </w:rPr>
  </w:style>
  <w:style w:type="character" w:customStyle="1" w:styleId="ListLabel663">
    <w:name w:val="ListLabel 663"/>
    <w:qFormat/>
    <w:rPr>
      <w:rFonts w:cs="Wingdings"/>
    </w:rPr>
  </w:style>
  <w:style w:type="character" w:customStyle="1" w:styleId="ListLabel664">
    <w:name w:val="ListLabel 664"/>
    <w:qFormat/>
    <w:rPr>
      <w:rFonts w:cs="Symbol"/>
      <w:sz w:val="22"/>
    </w:rPr>
  </w:style>
  <w:style w:type="character" w:customStyle="1" w:styleId="ListLabel665">
    <w:name w:val="ListLabel 665"/>
    <w:qFormat/>
    <w:rPr>
      <w:rFonts w:cs="Courier New"/>
      <w:sz w:val="20"/>
    </w:rPr>
  </w:style>
  <w:style w:type="character" w:customStyle="1" w:styleId="ListLabel666">
    <w:name w:val="ListLabel 666"/>
    <w:qFormat/>
    <w:rPr>
      <w:rFonts w:cs="Wingdings"/>
      <w:sz w:val="20"/>
    </w:rPr>
  </w:style>
  <w:style w:type="character" w:customStyle="1" w:styleId="ListLabel667">
    <w:name w:val="ListLabel 667"/>
    <w:qFormat/>
    <w:rPr>
      <w:rFonts w:cs="Wingdings"/>
      <w:sz w:val="20"/>
    </w:rPr>
  </w:style>
  <w:style w:type="character" w:customStyle="1" w:styleId="ListLabel668">
    <w:name w:val="ListLabel 668"/>
    <w:qFormat/>
    <w:rPr>
      <w:rFonts w:cs="Wingdings"/>
      <w:sz w:val="20"/>
    </w:rPr>
  </w:style>
  <w:style w:type="character" w:customStyle="1" w:styleId="ListLabel669">
    <w:name w:val="ListLabel 669"/>
    <w:qFormat/>
    <w:rPr>
      <w:rFonts w:cs="Wingdings"/>
      <w:sz w:val="20"/>
    </w:rPr>
  </w:style>
  <w:style w:type="character" w:customStyle="1" w:styleId="ListLabel670">
    <w:name w:val="ListLabel 670"/>
    <w:qFormat/>
    <w:rPr>
      <w:rFonts w:cs="Wingdings"/>
      <w:sz w:val="20"/>
    </w:rPr>
  </w:style>
  <w:style w:type="character" w:customStyle="1" w:styleId="ListLabel671">
    <w:name w:val="ListLabel 671"/>
    <w:qFormat/>
    <w:rPr>
      <w:rFonts w:cs="Wingdings"/>
      <w:sz w:val="20"/>
    </w:rPr>
  </w:style>
  <w:style w:type="character" w:customStyle="1" w:styleId="ListLabel672">
    <w:name w:val="ListLabel 672"/>
    <w:qFormat/>
    <w:rPr>
      <w:rFonts w:cs="Wingdings"/>
      <w:sz w:val="20"/>
    </w:rPr>
  </w:style>
  <w:style w:type="character" w:customStyle="1" w:styleId="ListLabel673">
    <w:name w:val="ListLabel 673"/>
    <w:qFormat/>
    <w:rPr>
      <w:rFonts w:ascii="Times New Roman" w:hAnsi="Times New Roman" w:cs="Wingdings"/>
      <w:sz w:val="22"/>
    </w:rPr>
  </w:style>
  <w:style w:type="character" w:customStyle="1" w:styleId="ListLabel674">
    <w:name w:val="ListLabel 674"/>
    <w:qFormat/>
    <w:rPr>
      <w:rFonts w:cs="Times New Roman"/>
    </w:rPr>
  </w:style>
  <w:style w:type="character" w:customStyle="1" w:styleId="ListLabel675">
    <w:name w:val="ListLabel 675"/>
    <w:qFormat/>
    <w:rPr>
      <w:rFonts w:cs="Wingdings"/>
    </w:rPr>
  </w:style>
  <w:style w:type="character" w:customStyle="1" w:styleId="ListLabel676">
    <w:name w:val="ListLabel 676"/>
    <w:qFormat/>
    <w:rPr>
      <w:rFonts w:cs="Symbol"/>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ascii="Times New Roman" w:hAnsi="Times New Roman" w:cs="Symbol"/>
      <w:sz w:val="22"/>
    </w:rPr>
  </w:style>
  <w:style w:type="character" w:customStyle="1" w:styleId="ListLabel684">
    <w:name w:val="ListLabel 684"/>
    <w:qFormat/>
    <w:rPr>
      <w:rFonts w:cs="Wingdings"/>
    </w:rPr>
  </w:style>
  <w:style w:type="character" w:customStyle="1" w:styleId="ListLabel685">
    <w:name w:val="ListLabel 685"/>
    <w:qFormat/>
    <w:rPr>
      <w:rFonts w:cs="Symbol"/>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ascii="Times New Roman" w:hAnsi="Times New Roman" w:cs="Symbol"/>
      <w:sz w:val="22"/>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cs="Symbol"/>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ascii="Times New Roman" w:hAnsi="Times New Roman" w:cs="TimesNewRomanPS-BoldMT"/>
      <w:sz w:val="22"/>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cs="Symbol"/>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sz w:val="22"/>
    </w:rPr>
  </w:style>
  <w:style w:type="character" w:customStyle="1" w:styleId="ListLabel710">
    <w:name w:val="ListLabel 710"/>
    <w:qFormat/>
    <w:rPr>
      <w:rFonts w:cs="Symbol"/>
      <w:sz w:val="22"/>
    </w:rPr>
  </w:style>
  <w:style w:type="character" w:customStyle="1" w:styleId="ListLabel711">
    <w:name w:val="ListLabel 711"/>
    <w:qFormat/>
    <w:rPr>
      <w:rFonts w:cs="Symbol"/>
    </w:rPr>
  </w:style>
  <w:style w:type="character" w:customStyle="1" w:styleId="ListLabel712">
    <w:name w:val="ListLabel 712"/>
    <w:qFormat/>
    <w:rPr>
      <w:rFonts w:ascii="Times New Roman" w:hAnsi="Times New Roman" w:cs="Wingdings"/>
      <w:b/>
      <w:i w:val="0"/>
      <w:color w:val="00000A"/>
      <w:sz w:val="22"/>
      <w:szCs w:val="16"/>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TimesNewRomanPS-BoldMT"/>
      <w:b/>
      <w:color w:val="00000A"/>
      <w:sz w:val="22"/>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cs="Wingdings"/>
      <w:b w:val="0"/>
      <w:i/>
      <w:color w:val="00000A"/>
      <w:sz w:val="22"/>
      <w:u w:val="none" w:color="000000"/>
    </w:rPr>
  </w:style>
  <w:style w:type="character" w:customStyle="1" w:styleId="ListLabel731">
    <w:name w:val="ListLabel 731"/>
    <w:qFormat/>
    <w:rPr>
      <w:rFonts w:cs="Courier New"/>
      <w:sz w:val="20"/>
    </w:rPr>
  </w:style>
  <w:style w:type="character" w:customStyle="1" w:styleId="ListLabel732">
    <w:name w:val="ListLabel 732"/>
    <w:qFormat/>
    <w:rPr>
      <w:rFonts w:cs="Wingdings"/>
      <w:sz w:val="20"/>
    </w:rPr>
  </w:style>
  <w:style w:type="character" w:customStyle="1" w:styleId="ListLabel733">
    <w:name w:val="ListLabel 733"/>
    <w:qFormat/>
    <w:rPr>
      <w:rFonts w:cs="Wingdings"/>
      <w:sz w:val="20"/>
    </w:rPr>
  </w:style>
  <w:style w:type="character" w:customStyle="1" w:styleId="ListLabel734">
    <w:name w:val="ListLabel 734"/>
    <w:qFormat/>
    <w:rPr>
      <w:rFonts w:cs="Wingdings"/>
      <w:sz w:val="20"/>
    </w:rPr>
  </w:style>
  <w:style w:type="character" w:customStyle="1" w:styleId="ListLabel735">
    <w:name w:val="ListLabel 735"/>
    <w:qFormat/>
    <w:rPr>
      <w:rFonts w:cs="Wingdings"/>
      <w:sz w:val="20"/>
    </w:rPr>
  </w:style>
  <w:style w:type="character" w:customStyle="1" w:styleId="ListLabel736">
    <w:name w:val="ListLabel 736"/>
    <w:qFormat/>
    <w:rPr>
      <w:rFonts w:cs="Wingdings"/>
      <w:sz w:val="20"/>
    </w:rPr>
  </w:style>
  <w:style w:type="character" w:customStyle="1" w:styleId="ListLabel737">
    <w:name w:val="ListLabel 737"/>
    <w:qFormat/>
    <w:rPr>
      <w:rFonts w:cs="Wingdings"/>
      <w:sz w:val="20"/>
    </w:rPr>
  </w:style>
  <w:style w:type="character" w:customStyle="1" w:styleId="ListLabel738">
    <w:name w:val="ListLabel 738"/>
    <w:qFormat/>
    <w:rPr>
      <w:rFonts w:cs="Wingdings"/>
      <w:sz w:val="20"/>
    </w:rPr>
  </w:style>
  <w:style w:type="character" w:customStyle="1" w:styleId="ListLabel739">
    <w:name w:val="ListLabel 739"/>
    <w:qFormat/>
    <w:rPr>
      <w:rFonts w:cs="Symbol"/>
      <w:sz w:val="22"/>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Wingdings"/>
      <w:b/>
      <w:sz w:val="22"/>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Wingdings"/>
      <w:b/>
      <w:sz w:val="22"/>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Wingdings"/>
      <w:sz w:val="22"/>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cs="Symbol"/>
      <w:sz w:val="22"/>
    </w:rPr>
  </w:style>
  <w:style w:type="character" w:customStyle="1" w:styleId="ListLabel776">
    <w:name w:val="ListLabel 776"/>
    <w:qFormat/>
    <w:rPr>
      <w:rFonts w:cs="Courier New"/>
      <w:sz w:val="20"/>
    </w:rPr>
  </w:style>
  <w:style w:type="character" w:customStyle="1" w:styleId="ListLabel777">
    <w:name w:val="ListLabel 777"/>
    <w:qFormat/>
    <w:rPr>
      <w:rFonts w:cs="Wingdings"/>
      <w:sz w:val="20"/>
    </w:rPr>
  </w:style>
  <w:style w:type="character" w:customStyle="1" w:styleId="ListLabel778">
    <w:name w:val="ListLabel 778"/>
    <w:qFormat/>
    <w:rPr>
      <w:rFonts w:cs="Wingdings"/>
      <w:sz w:val="20"/>
    </w:rPr>
  </w:style>
  <w:style w:type="character" w:customStyle="1" w:styleId="ListLabel779">
    <w:name w:val="ListLabel 779"/>
    <w:qFormat/>
    <w:rPr>
      <w:rFonts w:cs="Wingdings"/>
      <w:sz w:val="20"/>
    </w:rPr>
  </w:style>
  <w:style w:type="character" w:customStyle="1" w:styleId="ListLabel780">
    <w:name w:val="ListLabel 780"/>
    <w:qFormat/>
    <w:rPr>
      <w:rFonts w:cs="Wingdings"/>
      <w:sz w:val="20"/>
    </w:rPr>
  </w:style>
  <w:style w:type="character" w:customStyle="1" w:styleId="ListLabel781">
    <w:name w:val="ListLabel 781"/>
    <w:qFormat/>
    <w:rPr>
      <w:rFonts w:cs="Wingdings"/>
      <w:sz w:val="20"/>
    </w:rPr>
  </w:style>
  <w:style w:type="character" w:customStyle="1" w:styleId="ListLabel782">
    <w:name w:val="ListLabel 782"/>
    <w:qFormat/>
    <w:rPr>
      <w:rFonts w:cs="Wingdings"/>
      <w:sz w:val="20"/>
    </w:rPr>
  </w:style>
  <w:style w:type="character" w:customStyle="1" w:styleId="ListLabel783">
    <w:name w:val="ListLabel 783"/>
    <w:qFormat/>
    <w:rPr>
      <w:rFonts w:cs="Wingdings"/>
      <w:sz w:val="20"/>
    </w:rPr>
  </w:style>
  <w:style w:type="character" w:customStyle="1" w:styleId="ListLabel784">
    <w:name w:val="ListLabel 784"/>
    <w:qFormat/>
    <w:rPr>
      <w:rFonts w:ascii="Times New Roman" w:hAnsi="Times New Roman" w:cs="Wingdings"/>
      <w:sz w:val="22"/>
    </w:rPr>
  </w:style>
  <w:style w:type="character" w:customStyle="1" w:styleId="ListLabel785">
    <w:name w:val="ListLabel 785"/>
    <w:qFormat/>
    <w:rPr>
      <w:rFonts w:cs="Times New Roman"/>
    </w:rPr>
  </w:style>
  <w:style w:type="character" w:customStyle="1" w:styleId="ListLabel786">
    <w:name w:val="ListLabel 786"/>
    <w:qFormat/>
    <w:rPr>
      <w:rFonts w:cs="Wingdings"/>
    </w:rPr>
  </w:style>
  <w:style w:type="character" w:customStyle="1" w:styleId="ListLabel787">
    <w:name w:val="ListLabel 787"/>
    <w:qFormat/>
    <w:rPr>
      <w:rFonts w:cs="Symbol"/>
    </w:rPr>
  </w:style>
  <w:style w:type="character" w:customStyle="1" w:styleId="ListLabel788">
    <w:name w:val="ListLabel 788"/>
    <w:qFormat/>
    <w:rPr>
      <w:rFonts w:cs="Courier New"/>
    </w:rPr>
  </w:style>
  <w:style w:type="character" w:customStyle="1" w:styleId="ListLabel789">
    <w:name w:val="ListLabel 789"/>
    <w:qFormat/>
    <w:rPr>
      <w:rFonts w:cs="Wingdings"/>
    </w:rPr>
  </w:style>
  <w:style w:type="character" w:customStyle="1" w:styleId="ListLabel790">
    <w:name w:val="ListLabel 790"/>
    <w:qFormat/>
    <w:rPr>
      <w:rFonts w:cs="Symbol"/>
    </w:rPr>
  </w:style>
  <w:style w:type="character" w:customStyle="1" w:styleId="ListLabel791">
    <w:name w:val="ListLabel 791"/>
    <w:qFormat/>
    <w:rPr>
      <w:rFonts w:cs="Courier New"/>
    </w:rPr>
  </w:style>
  <w:style w:type="character" w:customStyle="1" w:styleId="ListLabel792">
    <w:name w:val="ListLabel 792"/>
    <w:qFormat/>
    <w:rPr>
      <w:rFonts w:cs="Wingdings"/>
    </w:rPr>
  </w:style>
  <w:style w:type="character" w:customStyle="1" w:styleId="ListLabel793">
    <w:name w:val="ListLabel 793"/>
    <w:qFormat/>
    <w:rPr>
      <w:rFonts w:cs="Symbol"/>
    </w:rPr>
  </w:style>
  <w:style w:type="character" w:customStyle="1" w:styleId="ListLabel794">
    <w:name w:val="ListLabel 794"/>
    <w:qFormat/>
    <w:rPr>
      <w:rFonts w:ascii="Times New Roman" w:hAnsi="Times New Roman" w:cs="Symbol"/>
      <w:sz w:val="22"/>
    </w:rPr>
  </w:style>
  <w:style w:type="character" w:customStyle="1" w:styleId="ListLabel795">
    <w:name w:val="ListLabel 795"/>
    <w:qFormat/>
    <w:rPr>
      <w:rFonts w:cs="Wingdings"/>
    </w:rPr>
  </w:style>
  <w:style w:type="character" w:customStyle="1" w:styleId="ListLabel796">
    <w:name w:val="ListLabel 796"/>
    <w:qFormat/>
    <w:rPr>
      <w:rFonts w:cs="Symbol"/>
    </w:rPr>
  </w:style>
  <w:style w:type="character" w:customStyle="1" w:styleId="ListLabel797">
    <w:name w:val="ListLabel 797"/>
    <w:qFormat/>
    <w:rPr>
      <w:rFonts w:cs="Courier New"/>
    </w:rPr>
  </w:style>
  <w:style w:type="character" w:customStyle="1" w:styleId="ListLabel798">
    <w:name w:val="ListLabel 798"/>
    <w:qFormat/>
    <w:rPr>
      <w:rFonts w:cs="Wingdings"/>
    </w:rPr>
  </w:style>
  <w:style w:type="character" w:customStyle="1" w:styleId="ListLabel799">
    <w:name w:val="ListLabel 799"/>
    <w:qFormat/>
    <w:rPr>
      <w:rFonts w:cs="Symbol"/>
    </w:rPr>
  </w:style>
  <w:style w:type="character" w:customStyle="1" w:styleId="ListLabel800">
    <w:name w:val="ListLabel 800"/>
    <w:qFormat/>
    <w:rPr>
      <w:rFonts w:cs="Courier New"/>
    </w:rPr>
  </w:style>
  <w:style w:type="character" w:customStyle="1" w:styleId="ListLabel801">
    <w:name w:val="ListLabel 801"/>
    <w:qFormat/>
    <w:rPr>
      <w:rFonts w:cs="Wingdings"/>
    </w:rPr>
  </w:style>
  <w:style w:type="character" w:customStyle="1" w:styleId="ListLabel802">
    <w:name w:val="ListLabel 802"/>
    <w:qFormat/>
    <w:rPr>
      <w:rFonts w:ascii="Times New Roman" w:hAnsi="Times New Roman" w:cs="Symbol"/>
      <w:sz w:val="22"/>
    </w:rPr>
  </w:style>
  <w:style w:type="character" w:customStyle="1" w:styleId="ListLabel803">
    <w:name w:val="ListLabel 803"/>
    <w:qFormat/>
    <w:rPr>
      <w:rFonts w:cs="Courier New"/>
    </w:rPr>
  </w:style>
  <w:style w:type="character" w:customStyle="1" w:styleId="ListLabel804">
    <w:name w:val="ListLabel 804"/>
    <w:qFormat/>
    <w:rPr>
      <w:rFonts w:cs="Wingdings"/>
    </w:rPr>
  </w:style>
  <w:style w:type="character" w:customStyle="1" w:styleId="ListLabel805">
    <w:name w:val="ListLabel 805"/>
    <w:qFormat/>
    <w:rPr>
      <w:rFonts w:cs="Symbol"/>
    </w:rPr>
  </w:style>
  <w:style w:type="character" w:customStyle="1" w:styleId="ListLabel806">
    <w:name w:val="ListLabel 806"/>
    <w:qFormat/>
    <w:rPr>
      <w:rFonts w:cs="Courier New"/>
    </w:rPr>
  </w:style>
  <w:style w:type="character" w:customStyle="1" w:styleId="ListLabel807">
    <w:name w:val="ListLabel 807"/>
    <w:qFormat/>
    <w:rPr>
      <w:rFonts w:cs="Wingdings"/>
    </w:rPr>
  </w:style>
  <w:style w:type="character" w:customStyle="1" w:styleId="ListLabel808">
    <w:name w:val="ListLabel 808"/>
    <w:qFormat/>
    <w:rPr>
      <w:rFonts w:cs="Symbol"/>
    </w:rPr>
  </w:style>
  <w:style w:type="character" w:customStyle="1" w:styleId="ListLabel809">
    <w:name w:val="ListLabel 809"/>
    <w:qFormat/>
    <w:rPr>
      <w:rFonts w:cs="Courier New"/>
    </w:rPr>
  </w:style>
  <w:style w:type="character" w:customStyle="1" w:styleId="ListLabel810">
    <w:name w:val="ListLabel 810"/>
    <w:qFormat/>
    <w:rPr>
      <w:rFonts w:cs="Wingdings"/>
    </w:rPr>
  </w:style>
  <w:style w:type="character" w:customStyle="1" w:styleId="ListLabel811">
    <w:name w:val="ListLabel 811"/>
    <w:qFormat/>
    <w:rPr>
      <w:rFonts w:ascii="Times New Roman" w:hAnsi="Times New Roman" w:cs="TimesNewRomanPS-BoldMT"/>
      <w:sz w:val="22"/>
    </w:rPr>
  </w:style>
  <w:style w:type="character" w:customStyle="1" w:styleId="ListLabel812">
    <w:name w:val="ListLabel 812"/>
    <w:qFormat/>
    <w:rPr>
      <w:rFonts w:cs="Courier New"/>
    </w:rPr>
  </w:style>
  <w:style w:type="character" w:customStyle="1" w:styleId="ListLabel813">
    <w:name w:val="ListLabel 813"/>
    <w:qFormat/>
    <w:rPr>
      <w:rFonts w:cs="Wingdings"/>
    </w:rPr>
  </w:style>
  <w:style w:type="character" w:customStyle="1" w:styleId="ListLabel814">
    <w:name w:val="ListLabel 814"/>
    <w:qFormat/>
    <w:rPr>
      <w:rFonts w:cs="Symbol"/>
    </w:rPr>
  </w:style>
  <w:style w:type="character" w:customStyle="1" w:styleId="ListLabel815">
    <w:name w:val="ListLabel 815"/>
    <w:qFormat/>
    <w:rPr>
      <w:rFonts w:cs="Courier New"/>
    </w:rPr>
  </w:style>
  <w:style w:type="character" w:customStyle="1" w:styleId="ListLabel816">
    <w:name w:val="ListLabel 816"/>
    <w:qFormat/>
    <w:rPr>
      <w:rFonts w:cs="Wingdings"/>
    </w:rPr>
  </w:style>
  <w:style w:type="character" w:customStyle="1" w:styleId="ListLabel817">
    <w:name w:val="ListLabel 817"/>
    <w:qFormat/>
    <w:rPr>
      <w:rFonts w:cs="Symbol"/>
    </w:rPr>
  </w:style>
  <w:style w:type="character" w:customStyle="1" w:styleId="ListLabel818">
    <w:name w:val="ListLabel 818"/>
    <w:qFormat/>
    <w:rPr>
      <w:rFonts w:cs="Courier New"/>
    </w:rPr>
  </w:style>
  <w:style w:type="character" w:customStyle="1" w:styleId="ListLabel819">
    <w:name w:val="ListLabel 819"/>
    <w:qFormat/>
    <w:rPr>
      <w:rFonts w:cs="Wingdings"/>
    </w:rPr>
  </w:style>
  <w:style w:type="character" w:customStyle="1" w:styleId="ListLabel820">
    <w:name w:val="ListLabel 820"/>
    <w:qFormat/>
    <w:rPr>
      <w:rFonts w:cs="Symbol"/>
      <w:sz w:val="22"/>
    </w:rPr>
  </w:style>
  <w:style w:type="character" w:customStyle="1" w:styleId="ListLabel821">
    <w:name w:val="ListLabel 821"/>
    <w:qFormat/>
    <w:rPr>
      <w:rFonts w:cs="Symbol"/>
      <w:sz w:val="22"/>
    </w:rPr>
  </w:style>
  <w:style w:type="character" w:customStyle="1" w:styleId="ListLabel822">
    <w:name w:val="ListLabel 822"/>
    <w:qFormat/>
    <w:rPr>
      <w:rFonts w:cs="Symbol"/>
    </w:rPr>
  </w:style>
  <w:style w:type="character" w:customStyle="1" w:styleId="ListLabel823">
    <w:name w:val="ListLabel 823"/>
    <w:qFormat/>
    <w:rPr>
      <w:rFonts w:ascii="Times New Roman" w:hAnsi="Times New Roman" w:cs="Wingdings"/>
      <w:b/>
      <w:i w:val="0"/>
      <w:color w:val="00000A"/>
      <w:sz w:val="22"/>
      <w:szCs w:val="16"/>
    </w:rPr>
  </w:style>
  <w:style w:type="character" w:customStyle="1" w:styleId="ListLabel824">
    <w:name w:val="ListLabel 824"/>
    <w:qFormat/>
    <w:rPr>
      <w:rFonts w:cs="Courier New"/>
    </w:rPr>
  </w:style>
  <w:style w:type="character" w:customStyle="1" w:styleId="ListLabel825">
    <w:name w:val="ListLabel 825"/>
    <w:qFormat/>
    <w:rPr>
      <w:rFonts w:cs="Wingdings"/>
    </w:rPr>
  </w:style>
  <w:style w:type="character" w:customStyle="1" w:styleId="ListLabel826">
    <w:name w:val="ListLabel 826"/>
    <w:qFormat/>
    <w:rPr>
      <w:rFonts w:cs="Symbol"/>
    </w:rPr>
  </w:style>
  <w:style w:type="character" w:customStyle="1" w:styleId="ListLabel827">
    <w:name w:val="ListLabel 827"/>
    <w:qFormat/>
    <w:rPr>
      <w:rFonts w:cs="Courier New"/>
    </w:rPr>
  </w:style>
  <w:style w:type="character" w:customStyle="1" w:styleId="ListLabel828">
    <w:name w:val="ListLabel 828"/>
    <w:qFormat/>
    <w:rPr>
      <w:rFonts w:cs="Wingdings"/>
    </w:rPr>
  </w:style>
  <w:style w:type="character" w:customStyle="1" w:styleId="ListLabel829">
    <w:name w:val="ListLabel 829"/>
    <w:qFormat/>
    <w:rPr>
      <w:rFonts w:cs="Symbol"/>
    </w:rPr>
  </w:style>
  <w:style w:type="character" w:customStyle="1" w:styleId="ListLabel830">
    <w:name w:val="ListLabel 830"/>
    <w:qFormat/>
    <w:rPr>
      <w:rFonts w:cs="Courier New"/>
    </w:rPr>
  </w:style>
  <w:style w:type="character" w:customStyle="1" w:styleId="ListLabel831">
    <w:name w:val="ListLabel 831"/>
    <w:qFormat/>
    <w:rPr>
      <w:rFonts w:cs="Wingdings"/>
    </w:rPr>
  </w:style>
  <w:style w:type="character" w:customStyle="1" w:styleId="ListLabel832">
    <w:name w:val="ListLabel 832"/>
    <w:qFormat/>
    <w:rPr>
      <w:rFonts w:ascii="Times New Roman" w:hAnsi="Times New Roman" w:cs="TimesNewRomanPS-BoldMT"/>
      <w:b/>
      <w:color w:val="00000A"/>
      <w:sz w:val="22"/>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Wingdings"/>
      <w:b w:val="0"/>
      <w:i/>
      <w:color w:val="00000A"/>
      <w:sz w:val="22"/>
      <w:u w:val="none" w:color="000000"/>
    </w:rPr>
  </w:style>
  <w:style w:type="character" w:customStyle="1" w:styleId="ListLabel842">
    <w:name w:val="ListLabel 842"/>
    <w:qFormat/>
    <w:rPr>
      <w:rFonts w:cs="Courier New"/>
      <w:sz w:val="20"/>
    </w:rPr>
  </w:style>
  <w:style w:type="character" w:customStyle="1" w:styleId="ListLabel843">
    <w:name w:val="ListLabel 843"/>
    <w:qFormat/>
    <w:rPr>
      <w:rFonts w:cs="Wingdings"/>
      <w:sz w:val="20"/>
    </w:rPr>
  </w:style>
  <w:style w:type="character" w:customStyle="1" w:styleId="ListLabel844">
    <w:name w:val="ListLabel 844"/>
    <w:qFormat/>
    <w:rPr>
      <w:rFonts w:cs="Wingdings"/>
      <w:sz w:val="20"/>
    </w:rPr>
  </w:style>
  <w:style w:type="character" w:customStyle="1" w:styleId="ListLabel845">
    <w:name w:val="ListLabel 845"/>
    <w:qFormat/>
    <w:rPr>
      <w:rFonts w:cs="Wingdings"/>
      <w:sz w:val="20"/>
    </w:rPr>
  </w:style>
  <w:style w:type="character" w:customStyle="1" w:styleId="ListLabel846">
    <w:name w:val="ListLabel 846"/>
    <w:qFormat/>
    <w:rPr>
      <w:rFonts w:cs="Wingdings"/>
      <w:sz w:val="20"/>
    </w:rPr>
  </w:style>
  <w:style w:type="character" w:customStyle="1" w:styleId="ListLabel847">
    <w:name w:val="ListLabel 847"/>
    <w:qFormat/>
    <w:rPr>
      <w:rFonts w:cs="Wingdings"/>
      <w:sz w:val="20"/>
    </w:rPr>
  </w:style>
  <w:style w:type="character" w:customStyle="1" w:styleId="ListLabel848">
    <w:name w:val="ListLabel 848"/>
    <w:qFormat/>
    <w:rPr>
      <w:rFonts w:cs="Wingdings"/>
      <w:sz w:val="20"/>
    </w:rPr>
  </w:style>
  <w:style w:type="character" w:customStyle="1" w:styleId="ListLabel849">
    <w:name w:val="ListLabel 849"/>
    <w:qFormat/>
    <w:rPr>
      <w:rFonts w:cs="Wingdings"/>
      <w:sz w:val="20"/>
    </w:rPr>
  </w:style>
  <w:style w:type="character" w:customStyle="1" w:styleId="ListLabel850">
    <w:name w:val="ListLabel 850"/>
    <w:qFormat/>
    <w:rPr>
      <w:rFonts w:cs="Symbol"/>
      <w:sz w:val="22"/>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ascii="Times New Roman" w:hAnsi="Times New Roman" w:cs="Wingdings"/>
      <w:b/>
      <w:sz w:val="22"/>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ascii="Times New Roman" w:hAnsi="Times New Roman" w:cs="Wingdings"/>
      <w:b/>
      <w:sz w:val="22"/>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Times New Roman" w:hAnsi="Times New Roman" w:cs="Wingdings"/>
      <w:sz w:val="22"/>
    </w:rPr>
  </w:style>
  <w:style w:type="character" w:customStyle="1" w:styleId="ListLabel878">
    <w:name w:val="ListLabel 878"/>
    <w:qFormat/>
    <w:rPr>
      <w:rFonts w:cs="Courier New"/>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cs="Symbol"/>
      <w:sz w:val="22"/>
    </w:rPr>
  </w:style>
  <w:style w:type="character" w:customStyle="1" w:styleId="ListLabel887">
    <w:name w:val="ListLabel 887"/>
    <w:qFormat/>
    <w:rPr>
      <w:rFonts w:cs="Courier New"/>
      <w:sz w:val="20"/>
    </w:rPr>
  </w:style>
  <w:style w:type="character" w:customStyle="1" w:styleId="ListLabel888">
    <w:name w:val="ListLabel 888"/>
    <w:qFormat/>
    <w:rPr>
      <w:rFonts w:cs="Wingdings"/>
      <w:sz w:val="20"/>
    </w:rPr>
  </w:style>
  <w:style w:type="character" w:customStyle="1" w:styleId="ListLabel889">
    <w:name w:val="ListLabel 889"/>
    <w:qFormat/>
    <w:rPr>
      <w:rFonts w:cs="Wingdings"/>
      <w:sz w:val="20"/>
    </w:rPr>
  </w:style>
  <w:style w:type="character" w:customStyle="1" w:styleId="ListLabel890">
    <w:name w:val="ListLabel 890"/>
    <w:qFormat/>
    <w:rPr>
      <w:rFonts w:cs="Wingdings"/>
      <w:sz w:val="20"/>
    </w:rPr>
  </w:style>
  <w:style w:type="character" w:customStyle="1" w:styleId="ListLabel891">
    <w:name w:val="ListLabel 891"/>
    <w:qFormat/>
    <w:rPr>
      <w:rFonts w:cs="Wingdings"/>
      <w:sz w:val="20"/>
    </w:rPr>
  </w:style>
  <w:style w:type="character" w:customStyle="1" w:styleId="ListLabel892">
    <w:name w:val="ListLabel 892"/>
    <w:qFormat/>
    <w:rPr>
      <w:rFonts w:cs="Wingdings"/>
      <w:sz w:val="20"/>
    </w:rPr>
  </w:style>
  <w:style w:type="character" w:customStyle="1" w:styleId="ListLabel893">
    <w:name w:val="ListLabel 893"/>
    <w:qFormat/>
    <w:rPr>
      <w:rFonts w:cs="Wingdings"/>
      <w:sz w:val="20"/>
    </w:rPr>
  </w:style>
  <w:style w:type="character" w:customStyle="1" w:styleId="ListLabel894">
    <w:name w:val="ListLabel 894"/>
    <w:qFormat/>
    <w:rPr>
      <w:rFonts w:cs="Wingdings"/>
      <w:sz w:val="20"/>
    </w:rPr>
  </w:style>
  <w:style w:type="character" w:customStyle="1" w:styleId="ListLabel895">
    <w:name w:val="ListLabel 895"/>
    <w:qFormat/>
    <w:rPr>
      <w:rFonts w:ascii="Times New Roman" w:hAnsi="Times New Roman" w:cs="Wingdings"/>
      <w:sz w:val="22"/>
    </w:rPr>
  </w:style>
  <w:style w:type="character" w:customStyle="1" w:styleId="ListLabel896">
    <w:name w:val="ListLabel 896"/>
    <w:qFormat/>
    <w:rPr>
      <w:rFonts w:cs="Times New Roman"/>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Symbol"/>
    </w:rPr>
  </w:style>
  <w:style w:type="character" w:customStyle="1" w:styleId="ListLabel905">
    <w:name w:val="ListLabel 905"/>
    <w:qFormat/>
    <w:rPr>
      <w:rFonts w:ascii="Times New Roman" w:hAnsi="Times New Roman" w:cs="Symbol"/>
      <w:sz w:val="22"/>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ascii="Times New Roman" w:hAnsi="Times New Roman" w:cs="Symbol"/>
      <w:sz w:val="22"/>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TimesNewRomanPS-BoldMT"/>
      <w:sz w:val="22"/>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sz w:val="22"/>
    </w:rPr>
  </w:style>
  <w:style w:type="character" w:customStyle="1" w:styleId="ListLabel932">
    <w:name w:val="ListLabel 932"/>
    <w:qFormat/>
    <w:rPr>
      <w:rFonts w:cs="Symbol"/>
      <w:sz w:val="22"/>
    </w:rPr>
  </w:style>
  <w:style w:type="character" w:customStyle="1" w:styleId="ListLabel933">
    <w:name w:val="ListLabel 933"/>
    <w:qFormat/>
    <w:rPr>
      <w:rFonts w:cs="Symbol"/>
    </w:rPr>
  </w:style>
  <w:style w:type="character" w:customStyle="1" w:styleId="ListLabel934">
    <w:name w:val="ListLabel 934"/>
    <w:qFormat/>
    <w:rPr>
      <w:rFonts w:ascii="Times New Roman" w:hAnsi="Times New Roman" w:cs="Wingdings"/>
      <w:b/>
      <w:i w:val="0"/>
      <w:color w:val="00000A"/>
      <w:sz w:val="22"/>
      <w:szCs w:val="16"/>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Symbo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ascii="Times New Roman" w:hAnsi="Times New Roman" w:cs="TimesNewRomanPS-BoldMT"/>
      <w:b/>
      <w:color w:val="00000A"/>
      <w:sz w:val="22"/>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Symbol"/>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Wingdings"/>
      <w:b w:val="0"/>
      <w:i/>
      <w:color w:val="00000A"/>
      <w:sz w:val="22"/>
      <w:u w:val="none" w:color="000000"/>
    </w:rPr>
  </w:style>
  <w:style w:type="character" w:customStyle="1" w:styleId="ListLabel953">
    <w:name w:val="ListLabel 953"/>
    <w:qFormat/>
    <w:rPr>
      <w:rFonts w:cs="Courier New"/>
      <w:sz w:val="20"/>
    </w:rPr>
  </w:style>
  <w:style w:type="character" w:customStyle="1" w:styleId="ListLabel954">
    <w:name w:val="ListLabel 954"/>
    <w:qFormat/>
    <w:rPr>
      <w:rFonts w:cs="Wingdings"/>
      <w:sz w:val="20"/>
    </w:rPr>
  </w:style>
  <w:style w:type="character" w:customStyle="1" w:styleId="ListLabel955">
    <w:name w:val="ListLabel 955"/>
    <w:qFormat/>
    <w:rPr>
      <w:rFonts w:cs="Wingdings"/>
      <w:sz w:val="20"/>
    </w:rPr>
  </w:style>
  <w:style w:type="character" w:customStyle="1" w:styleId="ListLabel956">
    <w:name w:val="ListLabel 956"/>
    <w:qFormat/>
    <w:rPr>
      <w:rFonts w:cs="Wingdings"/>
      <w:sz w:val="20"/>
    </w:rPr>
  </w:style>
  <w:style w:type="character" w:customStyle="1" w:styleId="ListLabel957">
    <w:name w:val="ListLabel 957"/>
    <w:qFormat/>
    <w:rPr>
      <w:rFonts w:cs="Wingdings"/>
      <w:sz w:val="20"/>
    </w:rPr>
  </w:style>
  <w:style w:type="character" w:customStyle="1" w:styleId="ListLabel958">
    <w:name w:val="ListLabel 958"/>
    <w:qFormat/>
    <w:rPr>
      <w:rFonts w:cs="Wingdings"/>
      <w:sz w:val="20"/>
    </w:rPr>
  </w:style>
  <w:style w:type="character" w:customStyle="1" w:styleId="ListLabel959">
    <w:name w:val="ListLabel 959"/>
    <w:qFormat/>
    <w:rPr>
      <w:rFonts w:cs="Wingdings"/>
      <w:sz w:val="20"/>
    </w:rPr>
  </w:style>
  <w:style w:type="character" w:customStyle="1" w:styleId="ListLabel960">
    <w:name w:val="ListLabel 960"/>
    <w:qFormat/>
    <w:rPr>
      <w:rFonts w:cs="Wingdings"/>
      <w:sz w:val="20"/>
    </w:rPr>
  </w:style>
  <w:style w:type="character" w:customStyle="1" w:styleId="ListLabel961">
    <w:name w:val="ListLabel 961"/>
    <w:qFormat/>
    <w:rPr>
      <w:rFonts w:cs="Symbol"/>
      <w:sz w:val="22"/>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ascii="Times New Roman" w:hAnsi="Times New Roman" w:cs="Wingdings"/>
      <w:b/>
      <w:sz w:val="22"/>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ascii="Times New Roman" w:hAnsi="Times New Roman" w:cs="Wingdings"/>
      <w:b/>
      <w:sz w:val="22"/>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ascii="Times New Roman" w:hAnsi="Times New Roman" w:cs="Wingdings"/>
      <w:sz w:val="22"/>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sz w:val="22"/>
    </w:rPr>
  </w:style>
  <w:style w:type="character" w:customStyle="1" w:styleId="ListLabel998">
    <w:name w:val="ListLabel 998"/>
    <w:qFormat/>
    <w:rPr>
      <w:rFonts w:cs="Courier New"/>
      <w:sz w:val="20"/>
    </w:rPr>
  </w:style>
  <w:style w:type="character" w:customStyle="1" w:styleId="ListLabel999">
    <w:name w:val="ListLabel 999"/>
    <w:qFormat/>
    <w:rPr>
      <w:rFonts w:cs="Wingdings"/>
      <w:sz w:val="20"/>
    </w:rPr>
  </w:style>
  <w:style w:type="character" w:customStyle="1" w:styleId="ListLabel1000">
    <w:name w:val="ListLabel 1000"/>
    <w:qFormat/>
    <w:rPr>
      <w:rFonts w:cs="Wingdings"/>
      <w:sz w:val="20"/>
    </w:rPr>
  </w:style>
  <w:style w:type="character" w:customStyle="1" w:styleId="ListLabel1001">
    <w:name w:val="ListLabel 1001"/>
    <w:qFormat/>
    <w:rPr>
      <w:rFonts w:cs="Wingdings"/>
      <w:sz w:val="20"/>
    </w:rPr>
  </w:style>
  <w:style w:type="character" w:customStyle="1" w:styleId="ListLabel1002">
    <w:name w:val="ListLabel 1002"/>
    <w:qFormat/>
    <w:rPr>
      <w:rFonts w:cs="Wingdings"/>
      <w:sz w:val="20"/>
    </w:rPr>
  </w:style>
  <w:style w:type="character" w:customStyle="1" w:styleId="ListLabel1003">
    <w:name w:val="ListLabel 1003"/>
    <w:qFormat/>
    <w:rPr>
      <w:rFonts w:cs="Wingdings"/>
      <w:sz w:val="20"/>
    </w:rPr>
  </w:style>
  <w:style w:type="character" w:customStyle="1" w:styleId="ListLabel1004">
    <w:name w:val="ListLabel 1004"/>
    <w:qFormat/>
    <w:rPr>
      <w:rFonts w:cs="Wingdings"/>
      <w:sz w:val="20"/>
    </w:rPr>
  </w:style>
  <w:style w:type="character" w:customStyle="1" w:styleId="ListLabel1005">
    <w:name w:val="ListLabel 1005"/>
    <w:qFormat/>
    <w:rPr>
      <w:rFonts w:cs="Wingdings"/>
      <w:sz w:val="20"/>
    </w:rPr>
  </w:style>
  <w:style w:type="character" w:customStyle="1" w:styleId="ListLabel1006">
    <w:name w:val="ListLabel 1006"/>
    <w:qFormat/>
    <w:rPr>
      <w:rFonts w:ascii="Times New Roman" w:hAnsi="Times New Roman" w:cs="Wingdings"/>
      <w:sz w:val="22"/>
    </w:rPr>
  </w:style>
  <w:style w:type="character" w:customStyle="1" w:styleId="ListLabel1007">
    <w:name w:val="ListLabel 1007"/>
    <w:qFormat/>
    <w:rPr>
      <w:rFonts w:cs="Times New Roman"/>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ascii="Times New Roman" w:hAnsi="Times New Roman" w:cs="Symbol"/>
      <w:sz w:val="22"/>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rFonts w:cs="Symbol"/>
    </w:rPr>
  </w:style>
  <w:style w:type="character" w:customStyle="1" w:styleId="ListLabel1022">
    <w:name w:val="ListLabel 1022"/>
    <w:qFormat/>
    <w:rPr>
      <w:rFonts w:cs="Courier New"/>
    </w:rPr>
  </w:style>
  <w:style w:type="character" w:customStyle="1" w:styleId="ListLabel1023">
    <w:name w:val="ListLabel 1023"/>
    <w:qFormat/>
    <w:rPr>
      <w:rFonts w:cs="Wingdings"/>
    </w:rPr>
  </w:style>
  <w:style w:type="character" w:customStyle="1" w:styleId="ListLabel1024">
    <w:name w:val="ListLabel 1024"/>
    <w:qFormat/>
    <w:rPr>
      <w:rFonts w:ascii="Times New Roman" w:hAnsi="Times New Roman" w:cs="Symbol"/>
      <w:sz w:val="22"/>
    </w:rPr>
  </w:style>
  <w:style w:type="character" w:customStyle="1" w:styleId="ListLabel1025">
    <w:name w:val="ListLabel 1025"/>
    <w:qFormat/>
    <w:rPr>
      <w:rFonts w:cs="Courier New"/>
    </w:rPr>
  </w:style>
  <w:style w:type="character" w:customStyle="1" w:styleId="ListLabel1026">
    <w:name w:val="ListLabel 1026"/>
    <w:qFormat/>
    <w:rPr>
      <w:rFonts w:cs="Wingdings"/>
    </w:rPr>
  </w:style>
  <w:style w:type="character" w:customStyle="1" w:styleId="ListLabel1027">
    <w:name w:val="ListLabel 1027"/>
    <w:qFormat/>
    <w:rPr>
      <w:rFonts w:cs="Symbol"/>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ascii="Times New Roman" w:hAnsi="Times New Roman" w:cs="TimesNewRomanPS-BoldMT"/>
      <w:sz w:val="22"/>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rFonts w:cs="Symbol"/>
    </w:rPr>
  </w:style>
  <w:style w:type="character" w:customStyle="1" w:styleId="ListLabel1037">
    <w:name w:val="ListLabel 1037"/>
    <w:qFormat/>
    <w:rPr>
      <w:rFonts w:cs="Courier New"/>
    </w:rPr>
  </w:style>
  <w:style w:type="character" w:customStyle="1" w:styleId="ListLabel1038">
    <w:name w:val="ListLabel 1038"/>
    <w:qFormat/>
    <w:rPr>
      <w:rFonts w:cs="Wingdings"/>
    </w:rPr>
  </w:style>
  <w:style w:type="character" w:customStyle="1" w:styleId="ListLabel1039">
    <w:name w:val="ListLabel 1039"/>
    <w:qFormat/>
    <w:rPr>
      <w:rFonts w:cs="Symbol"/>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sz w:val="22"/>
    </w:rPr>
  </w:style>
  <w:style w:type="character" w:customStyle="1" w:styleId="ListLabel1043">
    <w:name w:val="ListLabel 1043"/>
    <w:qFormat/>
    <w:rPr>
      <w:rFonts w:cs="Symbol"/>
    </w:rPr>
  </w:style>
  <w:style w:type="character" w:customStyle="1" w:styleId="ListLabel1044">
    <w:name w:val="ListLabel 1044"/>
    <w:qFormat/>
    <w:rPr>
      <w:rFonts w:ascii="Times New Roman" w:hAnsi="Times New Roman" w:cs="Wingdings"/>
      <w:b/>
      <w:i w:val="0"/>
      <w:color w:val="00000A"/>
      <w:sz w:val="22"/>
      <w:szCs w:val="16"/>
    </w:rPr>
  </w:style>
  <w:style w:type="character" w:customStyle="1" w:styleId="ListLabel1045">
    <w:name w:val="ListLabel 1045"/>
    <w:qFormat/>
    <w:rPr>
      <w:rFonts w:cs="Courier New"/>
    </w:rPr>
  </w:style>
  <w:style w:type="character" w:customStyle="1" w:styleId="ListLabel1046">
    <w:name w:val="ListLabel 1046"/>
    <w:qFormat/>
    <w:rPr>
      <w:rFonts w:cs="Wingdings"/>
    </w:rPr>
  </w:style>
  <w:style w:type="character" w:customStyle="1" w:styleId="ListLabel1047">
    <w:name w:val="ListLabel 1047"/>
    <w:qFormat/>
    <w:rPr>
      <w:rFonts w:cs="Symbol"/>
    </w:rPr>
  </w:style>
  <w:style w:type="character" w:customStyle="1" w:styleId="ListLabel1048">
    <w:name w:val="ListLabel 1048"/>
    <w:qFormat/>
    <w:rPr>
      <w:rFonts w:cs="Courier New"/>
    </w:rPr>
  </w:style>
  <w:style w:type="character" w:customStyle="1" w:styleId="ListLabel1049">
    <w:name w:val="ListLabel 1049"/>
    <w:qFormat/>
    <w:rPr>
      <w:rFonts w:cs="Wingdings"/>
    </w:rPr>
  </w:style>
  <w:style w:type="character" w:customStyle="1" w:styleId="ListLabel1050">
    <w:name w:val="ListLabel 1050"/>
    <w:qFormat/>
    <w:rPr>
      <w:rFonts w:cs="Symbol"/>
    </w:rPr>
  </w:style>
  <w:style w:type="character" w:customStyle="1" w:styleId="ListLabel1051">
    <w:name w:val="ListLabel 1051"/>
    <w:qFormat/>
    <w:rPr>
      <w:rFonts w:cs="Courier New"/>
    </w:rPr>
  </w:style>
  <w:style w:type="character" w:customStyle="1" w:styleId="ListLabel1052">
    <w:name w:val="ListLabel 1052"/>
    <w:qFormat/>
    <w:rPr>
      <w:rFonts w:cs="Wingdings"/>
    </w:rPr>
  </w:style>
  <w:style w:type="character" w:customStyle="1" w:styleId="ListLabel1053">
    <w:name w:val="ListLabel 1053"/>
    <w:qFormat/>
    <w:rPr>
      <w:rFonts w:ascii="Times New Roman" w:hAnsi="Times New Roman" w:cs="TimesNewRomanPS-BoldMT"/>
      <w:b/>
      <w:color w:val="00000A"/>
      <w:sz w:val="22"/>
    </w:rPr>
  </w:style>
  <w:style w:type="character" w:customStyle="1" w:styleId="ListLabel1054">
    <w:name w:val="ListLabel 1054"/>
    <w:qFormat/>
    <w:rPr>
      <w:rFonts w:cs="Courier New"/>
    </w:rPr>
  </w:style>
  <w:style w:type="character" w:customStyle="1" w:styleId="ListLabel1055">
    <w:name w:val="ListLabel 1055"/>
    <w:qFormat/>
    <w:rPr>
      <w:rFonts w:cs="Wingdings"/>
    </w:rPr>
  </w:style>
  <w:style w:type="character" w:customStyle="1" w:styleId="ListLabel1056">
    <w:name w:val="ListLabel 1056"/>
    <w:qFormat/>
    <w:rPr>
      <w:rFonts w:cs="Symbol"/>
    </w:rPr>
  </w:style>
  <w:style w:type="character" w:customStyle="1" w:styleId="ListLabel1057">
    <w:name w:val="ListLabel 1057"/>
    <w:qFormat/>
    <w:rPr>
      <w:rFonts w:cs="Courier New"/>
    </w:rPr>
  </w:style>
  <w:style w:type="character" w:customStyle="1" w:styleId="ListLabel1058">
    <w:name w:val="ListLabel 1058"/>
    <w:qFormat/>
    <w:rPr>
      <w:rFonts w:cs="Wingdings"/>
    </w:rPr>
  </w:style>
  <w:style w:type="character" w:customStyle="1" w:styleId="ListLabel1059">
    <w:name w:val="ListLabel 1059"/>
    <w:qFormat/>
    <w:rPr>
      <w:rFonts w:cs="Symbol"/>
    </w:rPr>
  </w:style>
  <w:style w:type="character" w:customStyle="1" w:styleId="ListLabel1060">
    <w:name w:val="ListLabel 1060"/>
    <w:qFormat/>
    <w:rPr>
      <w:rFonts w:cs="Courier New"/>
    </w:rPr>
  </w:style>
  <w:style w:type="character" w:customStyle="1" w:styleId="ListLabel1061">
    <w:name w:val="ListLabel 1061"/>
    <w:qFormat/>
    <w:rPr>
      <w:rFonts w:cs="Wingdings"/>
    </w:rPr>
  </w:style>
  <w:style w:type="character" w:customStyle="1" w:styleId="ListLabel1062">
    <w:name w:val="ListLabel 1062"/>
    <w:qFormat/>
    <w:rPr>
      <w:rFonts w:cs="Wingdings"/>
      <w:b w:val="0"/>
      <w:i/>
      <w:color w:val="00000A"/>
      <w:sz w:val="22"/>
      <w:u w:val="none" w:color="000000"/>
    </w:rPr>
  </w:style>
  <w:style w:type="character" w:customStyle="1" w:styleId="ListLabel1063">
    <w:name w:val="ListLabel 1063"/>
    <w:qFormat/>
    <w:rPr>
      <w:rFonts w:cs="Courier New"/>
      <w:sz w:val="20"/>
    </w:rPr>
  </w:style>
  <w:style w:type="character" w:customStyle="1" w:styleId="ListLabel1064">
    <w:name w:val="ListLabel 1064"/>
    <w:qFormat/>
    <w:rPr>
      <w:rFonts w:cs="Wingdings"/>
      <w:sz w:val="20"/>
    </w:rPr>
  </w:style>
  <w:style w:type="character" w:customStyle="1" w:styleId="ListLabel1065">
    <w:name w:val="ListLabel 1065"/>
    <w:qFormat/>
    <w:rPr>
      <w:rFonts w:cs="Wingdings"/>
      <w:sz w:val="20"/>
    </w:rPr>
  </w:style>
  <w:style w:type="character" w:customStyle="1" w:styleId="ListLabel1066">
    <w:name w:val="ListLabel 1066"/>
    <w:qFormat/>
    <w:rPr>
      <w:rFonts w:cs="Wingdings"/>
      <w:sz w:val="20"/>
    </w:rPr>
  </w:style>
  <w:style w:type="character" w:customStyle="1" w:styleId="ListLabel1067">
    <w:name w:val="ListLabel 1067"/>
    <w:qFormat/>
    <w:rPr>
      <w:rFonts w:cs="Wingdings"/>
      <w:sz w:val="20"/>
    </w:rPr>
  </w:style>
  <w:style w:type="character" w:customStyle="1" w:styleId="ListLabel1068">
    <w:name w:val="ListLabel 1068"/>
    <w:qFormat/>
    <w:rPr>
      <w:rFonts w:cs="Wingdings"/>
      <w:sz w:val="20"/>
    </w:rPr>
  </w:style>
  <w:style w:type="character" w:customStyle="1" w:styleId="ListLabel1069">
    <w:name w:val="ListLabel 1069"/>
    <w:qFormat/>
    <w:rPr>
      <w:rFonts w:cs="Wingdings"/>
      <w:sz w:val="20"/>
    </w:rPr>
  </w:style>
  <w:style w:type="character" w:customStyle="1" w:styleId="ListLabel1070">
    <w:name w:val="ListLabel 1070"/>
    <w:qFormat/>
    <w:rPr>
      <w:rFonts w:cs="Wingdings"/>
      <w:sz w:val="20"/>
    </w:rPr>
  </w:style>
  <w:style w:type="character" w:customStyle="1" w:styleId="ListLabel1071">
    <w:name w:val="ListLabel 1071"/>
    <w:qFormat/>
    <w:rPr>
      <w:rFonts w:cs="Symbol"/>
      <w:sz w:val="22"/>
    </w:rPr>
  </w:style>
  <w:style w:type="character" w:customStyle="1" w:styleId="ListLabel1072">
    <w:name w:val="ListLabel 1072"/>
    <w:qFormat/>
    <w:rPr>
      <w:rFonts w:cs="Courier New"/>
    </w:rPr>
  </w:style>
  <w:style w:type="character" w:customStyle="1" w:styleId="ListLabel1073">
    <w:name w:val="ListLabel 1073"/>
    <w:qFormat/>
    <w:rPr>
      <w:rFonts w:cs="Wingdings"/>
    </w:rPr>
  </w:style>
  <w:style w:type="character" w:customStyle="1" w:styleId="ListLabel1074">
    <w:name w:val="ListLabel 1074"/>
    <w:qFormat/>
    <w:rPr>
      <w:rFonts w:cs="Symbol"/>
    </w:rPr>
  </w:style>
  <w:style w:type="character" w:customStyle="1" w:styleId="ListLabel1075">
    <w:name w:val="ListLabel 1075"/>
    <w:qFormat/>
    <w:rPr>
      <w:rFonts w:cs="Courier New"/>
    </w:rPr>
  </w:style>
  <w:style w:type="character" w:customStyle="1" w:styleId="ListLabel1076">
    <w:name w:val="ListLabel 1076"/>
    <w:qFormat/>
    <w:rPr>
      <w:rFonts w:cs="Wingdings"/>
    </w:rPr>
  </w:style>
  <w:style w:type="character" w:customStyle="1" w:styleId="ListLabel1077">
    <w:name w:val="ListLabel 1077"/>
    <w:qFormat/>
    <w:rPr>
      <w:rFonts w:cs="Symbol"/>
    </w:rPr>
  </w:style>
  <w:style w:type="character" w:customStyle="1" w:styleId="ListLabel1078">
    <w:name w:val="ListLabel 1078"/>
    <w:qFormat/>
    <w:rPr>
      <w:rFonts w:cs="Courier New"/>
    </w:rPr>
  </w:style>
  <w:style w:type="character" w:customStyle="1" w:styleId="ListLabel1079">
    <w:name w:val="ListLabel 1079"/>
    <w:qFormat/>
    <w:rPr>
      <w:rFonts w:cs="Wingdings"/>
    </w:rPr>
  </w:style>
  <w:style w:type="character" w:customStyle="1" w:styleId="ListLabel1080">
    <w:name w:val="ListLabel 1080"/>
    <w:qFormat/>
    <w:rPr>
      <w:rFonts w:ascii="Times New Roman" w:hAnsi="Times New Roman" w:cs="Wingdings"/>
      <w:b/>
      <w:sz w:val="22"/>
    </w:rPr>
  </w:style>
  <w:style w:type="character" w:customStyle="1" w:styleId="ListLabel1081">
    <w:name w:val="ListLabel 1081"/>
    <w:qFormat/>
    <w:rPr>
      <w:rFonts w:cs="Courier New"/>
    </w:rPr>
  </w:style>
  <w:style w:type="character" w:customStyle="1" w:styleId="ListLabel1082">
    <w:name w:val="ListLabel 1082"/>
    <w:qFormat/>
    <w:rPr>
      <w:rFonts w:cs="Wingdings"/>
    </w:rPr>
  </w:style>
  <w:style w:type="character" w:customStyle="1" w:styleId="ListLabel1083">
    <w:name w:val="ListLabel 1083"/>
    <w:qFormat/>
    <w:rPr>
      <w:rFonts w:cs="Symbol"/>
    </w:rPr>
  </w:style>
  <w:style w:type="character" w:customStyle="1" w:styleId="ListLabel1084">
    <w:name w:val="ListLabel 1084"/>
    <w:qFormat/>
    <w:rPr>
      <w:rFonts w:cs="Courier New"/>
    </w:rPr>
  </w:style>
  <w:style w:type="character" w:customStyle="1" w:styleId="ListLabel1085">
    <w:name w:val="ListLabel 1085"/>
    <w:qFormat/>
    <w:rPr>
      <w:rFonts w:cs="Wingdings"/>
    </w:rPr>
  </w:style>
  <w:style w:type="character" w:customStyle="1" w:styleId="ListLabel1086">
    <w:name w:val="ListLabel 1086"/>
    <w:qFormat/>
    <w:rPr>
      <w:rFonts w:cs="Symbol"/>
    </w:rPr>
  </w:style>
  <w:style w:type="character" w:customStyle="1" w:styleId="ListLabel1087">
    <w:name w:val="ListLabel 1087"/>
    <w:qFormat/>
    <w:rPr>
      <w:rFonts w:cs="Courier New"/>
    </w:rPr>
  </w:style>
  <w:style w:type="character" w:customStyle="1" w:styleId="ListLabel1088">
    <w:name w:val="ListLabel 1088"/>
    <w:qFormat/>
    <w:rPr>
      <w:rFonts w:cs="Wingdings"/>
    </w:rPr>
  </w:style>
  <w:style w:type="character" w:customStyle="1" w:styleId="ListLabel1089">
    <w:name w:val="ListLabel 1089"/>
    <w:qFormat/>
    <w:rPr>
      <w:rFonts w:ascii="Times New Roman" w:hAnsi="Times New Roman" w:cs="Wingdings"/>
      <w:b/>
      <w:sz w:val="22"/>
    </w:rPr>
  </w:style>
  <w:style w:type="character" w:customStyle="1" w:styleId="ListLabel1090">
    <w:name w:val="ListLabel 1090"/>
    <w:qFormat/>
    <w:rPr>
      <w:rFonts w:cs="Courier New"/>
    </w:rPr>
  </w:style>
  <w:style w:type="character" w:customStyle="1" w:styleId="ListLabel1091">
    <w:name w:val="ListLabel 1091"/>
    <w:qFormat/>
    <w:rPr>
      <w:rFonts w:cs="Wingdings"/>
    </w:rPr>
  </w:style>
  <w:style w:type="character" w:customStyle="1" w:styleId="ListLabel1092">
    <w:name w:val="ListLabel 1092"/>
    <w:qFormat/>
    <w:rPr>
      <w:rFonts w:cs="Symbol"/>
    </w:rPr>
  </w:style>
  <w:style w:type="character" w:customStyle="1" w:styleId="ListLabel1093">
    <w:name w:val="ListLabel 1093"/>
    <w:qFormat/>
    <w:rPr>
      <w:rFonts w:cs="Courier New"/>
    </w:rPr>
  </w:style>
  <w:style w:type="character" w:customStyle="1" w:styleId="ListLabel1094">
    <w:name w:val="ListLabel 1094"/>
    <w:qFormat/>
    <w:rPr>
      <w:rFonts w:cs="Wingdings"/>
    </w:rPr>
  </w:style>
  <w:style w:type="character" w:customStyle="1" w:styleId="ListLabel1095">
    <w:name w:val="ListLabel 1095"/>
    <w:qFormat/>
    <w:rPr>
      <w:rFonts w:cs="Symbol"/>
    </w:rPr>
  </w:style>
  <w:style w:type="character" w:customStyle="1" w:styleId="ListLabel1096">
    <w:name w:val="ListLabel 1096"/>
    <w:qFormat/>
    <w:rPr>
      <w:rFonts w:cs="Courier New"/>
    </w:rPr>
  </w:style>
  <w:style w:type="character" w:customStyle="1" w:styleId="ListLabel1097">
    <w:name w:val="ListLabel 1097"/>
    <w:qFormat/>
    <w:rPr>
      <w:rFonts w:cs="Wingdings"/>
    </w:rPr>
  </w:style>
  <w:style w:type="character" w:customStyle="1" w:styleId="ListLabel1098">
    <w:name w:val="ListLabel 1098"/>
    <w:qFormat/>
    <w:rPr>
      <w:rFonts w:ascii="Times New Roman" w:hAnsi="Times New Roman" w:cs="Wingdings"/>
      <w:sz w:val="22"/>
    </w:rPr>
  </w:style>
  <w:style w:type="character" w:customStyle="1" w:styleId="ListLabel1099">
    <w:name w:val="ListLabel 1099"/>
    <w:qFormat/>
    <w:rPr>
      <w:rFonts w:cs="Courier New"/>
    </w:rPr>
  </w:style>
  <w:style w:type="character" w:customStyle="1" w:styleId="ListLabel1100">
    <w:name w:val="ListLabel 1100"/>
    <w:qFormat/>
    <w:rPr>
      <w:rFonts w:cs="Wingdings"/>
    </w:rPr>
  </w:style>
  <w:style w:type="character" w:customStyle="1" w:styleId="ListLabel1101">
    <w:name w:val="ListLabel 1101"/>
    <w:qFormat/>
    <w:rPr>
      <w:rFonts w:cs="Symbol"/>
    </w:rPr>
  </w:style>
  <w:style w:type="character" w:customStyle="1" w:styleId="ListLabel1102">
    <w:name w:val="ListLabel 1102"/>
    <w:qFormat/>
    <w:rPr>
      <w:rFonts w:cs="Courier New"/>
    </w:rPr>
  </w:style>
  <w:style w:type="character" w:customStyle="1" w:styleId="ListLabel1103">
    <w:name w:val="ListLabel 1103"/>
    <w:qFormat/>
    <w:rPr>
      <w:rFonts w:cs="Wingdings"/>
    </w:rPr>
  </w:style>
  <w:style w:type="character" w:customStyle="1" w:styleId="ListLabel1104">
    <w:name w:val="ListLabel 1104"/>
    <w:qFormat/>
    <w:rPr>
      <w:rFonts w:cs="Symbol"/>
    </w:rPr>
  </w:style>
  <w:style w:type="character" w:customStyle="1" w:styleId="ListLabel1105">
    <w:name w:val="ListLabel 1105"/>
    <w:qFormat/>
    <w:rPr>
      <w:rFonts w:cs="Courier New"/>
    </w:rPr>
  </w:style>
  <w:style w:type="character" w:customStyle="1" w:styleId="ListLabel1106">
    <w:name w:val="ListLabel 1106"/>
    <w:qFormat/>
    <w:rPr>
      <w:rFonts w:cs="Wingdings"/>
    </w:rPr>
  </w:style>
  <w:style w:type="character" w:customStyle="1" w:styleId="ListLabel1107">
    <w:name w:val="ListLabel 1107"/>
    <w:qFormat/>
    <w:rPr>
      <w:rFonts w:cs="Symbol"/>
      <w:sz w:val="22"/>
    </w:rPr>
  </w:style>
  <w:style w:type="character" w:customStyle="1" w:styleId="ListLabel1108">
    <w:name w:val="ListLabel 1108"/>
    <w:qFormat/>
    <w:rPr>
      <w:rFonts w:cs="Courier New"/>
      <w:sz w:val="20"/>
    </w:rPr>
  </w:style>
  <w:style w:type="character" w:customStyle="1" w:styleId="ListLabel1109">
    <w:name w:val="ListLabel 1109"/>
    <w:qFormat/>
    <w:rPr>
      <w:rFonts w:cs="Wingdings"/>
      <w:sz w:val="20"/>
    </w:rPr>
  </w:style>
  <w:style w:type="character" w:customStyle="1" w:styleId="ListLabel1110">
    <w:name w:val="ListLabel 1110"/>
    <w:qFormat/>
    <w:rPr>
      <w:rFonts w:cs="Wingdings"/>
      <w:sz w:val="20"/>
    </w:rPr>
  </w:style>
  <w:style w:type="character" w:customStyle="1" w:styleId="ListLabel1111">
    <w:name w:val="ListLabel 1111"/>
    <w:qFormat/>
    <w:rPr>
      <w:rFonts w:cs="Wingdings"/>
      <w:sz w:val="20"/>
    </w:rPr>
  </w:style>
  <w:style w:type="character" w:customStyle="1" w:styleId="ListLabel1112">
    <w:name w:val="ListLabel 1112"/>
    <w:qFormat/>
    <w:rPr>
      <w:rFonts w:cs="Wingdings"/>
      <w:sz w:val="20"/>
    </w:rPr>
  </w:style>
  <w:style w:type="character" w:customStyle="1" w:styleId="ListLabel1113">
    <w:name w:val="ListLabel 1113"/>
    <w:qFormat/>
    <w:rPr>
      <w:rFonts w:cs="Wingdings"/>
      <w:sz w:val="20"/>
    </w:rPr>
  </w:style>
  <w:style w:type="character" w:customStyle="1" w:styleId="ListLabel1114">
    <w:name w:val="ListLabel 1114"/>
    <w:qFormat/>
    <w:rPr>
      <w:rFonts w:cs="Wingdings"/>
      <w:sz w:val="20"/>
    </w:rPr>
  </w:style>
  <w:style w:type="character" w:customStyle="1" w:styleId="ListLabel1115">
    <w:name w:val="ListLabel 1115"/>
    <w:qFormat/>
    <w:rPr>
      <w:rFonts w:cs="Wingdings"/>
      <w:sz w:val="20"/>
    </w:rPr>
  </w:style>
  <w:style w:type="character" w:customStyle="1" w:styleId="ListLabel1116">
    <w:name w:val="ListLabel 1116"/>
    <w:qFormat/>
    <w:rPr>
      <w:rFonts w:ascii="Times New Roman" w:hAnsi="Times New Roman" w:cs="Wingdings"/>
      <w:sz w:val="22"/>
    </w:rPr>
  </w:style>
  <w:style w:type="character" w:customStyle="1" w:styleId="ListLabel1117">
    <w:name w:val="ListLabel 1117"/>
    <w:qFormat/>
    <w:rPr>
      <w:rFonts w:cs="Times New Roman"/>
    </w:rPr>
  </w:style>
  <w:style w:type="character" w:customStyle="1" w:styleId="ListLabel1118">
    <w:name w:val="ListLabel 1118"/>
    <w:qFormat/>
    <w:rPr>
      <w:rFonts w:cs="Wingdings"/>
    </w:rPr>
  </w:style>
  <w:style w:type="character" w:customStyle="1" w:styleId="ListLabel1119">
    <w:name w:val="ListLabel 1119"/>
    <w:qFormat/>
    <w:rPr>
      <w:rFonts w:cs="Symbol"/>
    </w:rPr>
  </w:style>
  <w:style w:type="character" w:customStyle="1" w:styleId="ListLabel1120">
    <w:name w:val="ListLabel 1120"/>
    <w:qFormat/>
    <w:rPr>
      <w:rFonts w:cs="Courier New"/>
    </w:rPr>
  </w:style>
  <w:style w:type="character" w:customStyle="1" w:styleId="ListLabel1121">
    <w:name w:val="ListLabel 1121"/>
    <w:qFormat/>
    <w:rPr>
      <w:rFonts w:cs="Wingdings"/>
    </w:rPr>
  </w:style>
  <w:style w:type="character" w:customStyle="1" w:styleId="ListLabel1122">
    <w:name w:val="ListLabel 1122"/>
    <w:qFormat/>
    <w:rPr>
      <w:rFonts w:cs="Symbol"/>
    </w:rPr>
  </w:style>
  <w:style w:type="character" w:customStyle="1" w:styleId="ListLabel1123">
    <w:name w:val="ListLabel 1123"/>
    <w:qFormat/>
    <w:rPr>
      <w:rFonts w:cs="Courier New"/>
    </w:rPr>
  </w:style>
  <w:style w:type="character" w:customStyle="1" w:styleId="ListLabel1124">
    <w:name w:val="ListLabel 1124"/>
    <w:qFormat/>
    <w:rPr>
      <w:rFonts w:cs="Wingdings"/>
    </w:rPr>
  </w:style>
  <w:style w:type="character" w:customStyle="1" w:styleId="ListLabel1125">
    <w:name w:val="ListLabel 1125"/>
    <w:qFormat/>
    <w:rPr>
      <w:rFonts w:cs="Symbol"/>
    </w:rPr>
  </w:style>
  <w:style w:type="character" w:customStyle="1" w:styleId="ListLabel1126">
    <w:name w:val="ListLabel 1126"/>
    <w:qFormat/>
    <w:rPr>
      <w:rFonts w:ascii="Times New Roman" w:hAnsi="Times New Roman" w:cs="Symbol"/>
      <w:sz w:val="22"/>
    </w:rPr>
  </w:style>
  <w:style w:type="character" w:customStyle="1" w:styleId="ListLabel1127">
    <w:name w:val="ListLabel 1127"/>
    <w:qFormat/>
    <w:rPr>
      <w:rFonts w:cs="Wingdings"/>
    </w:rPr>
  </w:style>
  <w:style w:type="character" w:customStyle="1" w:styleId="ListLabel1128">
    <w:name w:val="ListLabel 1128"/>
    <w:qFormat/>
    <w:rPr>
      <w:rFonts w:cs="Symbol"/>
    </w:rPr>
  </w:style>
  <w:style w:type="character" w:customStyle="1" w:styleId="ListLabel1129">
    <w:name w:val="ListLabel 1129"/>
    <w:qFormat/>
    <w:rPr>
      <w:rFonts w:cs="Courier New"/>
    </w:rPr>
  </w:style>
  <w:style w:type="character" w:customStyle="1" w:styleId="ListLabel1130">
    <w:name w:val="ListLabel 1130"/>
    <w:qFormat/>
    <w:rPr>
      <w:rFonts w:cs="Wingdings"/>
    </w:rPr>
  </w:style>
  <w:style w:type="character" w:customStyle="1" w:styleId="ListLabel1131">
    <w:name w:val="ListLabel 1131"/>
    <w:qFormat/>
    <w:rPr>
      <w:rFonts w:cs="Symbol"/>
    </w:rPr>
  </w:style>
  <w:style w:type="character" w:customStyle="1" w:styleId="ListLabel1132">
    <w:name w:val="ListLabel 1132"/>
    <w:qFormat/>
    <w:rPr>
      <w:rFonts w:cs="Courier New"/>
    </w:rPr>
  </w:style>
  <w:style w:type="character" w:customStyle="1" w:styleId="ListLabel1133">
    <w:name w:val="ListLabel 1133"/>
    <w:qFormat/>
    <w:rPr>
      <w:rFonts w:cs="Wingdings"/>
    </w:rPr>
  </w:style>
  <w:style w:type="character" w:customStyle="1" w:styleId="ListLabel1134">
    <w:name w:val="ListLabel 1134"/>
    <w:qFormat/>
    <w:rPr>
      <w:rFonts w:ascii="Times New Roman" w:hAnsi="Times New Roman" w:cs="Symbol"/>
      <w:sz w:val="22"/>
    </w:rPr>
  </w:style>
  <w:style w:type="character" w:customStyle="1" w:styleId="ListLabel1135">
    <w:name w:val="ListLabel 1135"/>
    <w:qFormat/>
    <w:rPr>
      <w:rFonts w:cs="Courier New"/>
    </w:rPr>
  </w:style>
  <w:style w:type="character" w:customStyle="1" w:styleId="ListLabel1136">
    <w:name w:val="ListLabel 1136"/>
    <w:qFormat/>
    <w:rPr>
      <w:rFonts w:cs="Wingdings"/>
    </w:rPr>
  </w:style>
  <w:style w:type="character" w:customStyle="1" w:styleId="ListLabel1137">
    <w:name w:val="ListLabel 1137"/>
    <w:qFormat/>
    <w:rPr>
      <w:rFonts w:cs="Symbol"/>
    </w:rPr>
  </w:style>
  <w:style w:type="character" w:customStyle="1" w:styleId="ListLabel1138">
    <w:name w:val="ListLabel 1138"/>
    <w:qFormat/>
    <w:rPr>
      <w:rFonts w:cs="Courier New"/>
    </w:rPr>
  </w:style>
  <w:style w:type="character" w:customStyle="1" w:styleId="ListLabel1139">
    <w:name w:val="ListLabel 1139"/>
    <w:qFormat/>
    <w:rPr>
      <w:rFonts w:cs="Wingdings"/>
    </w:rPr>
  </w:style>
  <w:style w:type="character" w:customStyle="1" w:styleId="ListLabel1140">
    <w:name w:val="ListLabel 1140"/>
    <w:qFormat/>
    <w:rPr>
      <w:rFonts w:cs="Symbol"/>
    </w:rPr>
  </w:style>
  <w:style w:type="character" w:customStyle="1" w:styleId="ListLabel1141">
    <w:name w:val="ListLabel 1141"/>
    <w:qFormat/>
    <w:rPr>
      <w:rFonts w:cs="Courier New"/>
    </w:rPr>
  </w:style>
  <w:style w:type="character" w:customStyle="1" w:styleId="ListLabel1142">
    <w:name w:val="ListLabel 1142"/>
    <w:qFormat/>
    <w:rPr>
      <w:rFonts w:cs="Wingdings"/>
    </w:rPr>
  </w:style>
  <w:style w:type="character" w:customStyle="1" w:styleId="ListLabel1143">
    <w:name w:val="ListLabel 1143"/>
    <w:qFormat/>
    <w:rPr>
      <w:rFonts w:ascii="Times New Roman" w:hAnsi="Times New Roman" w:cs="TimesNewRomanPS-BoldMT"/>
      <w:sz w:val="22"/>
    </w:rPr>
  </w:style>
  <w:style w:type="character" w:customStyle="1" w:styleId="ListLabel1144">
    <w:name w:val="ListLabel 1144"/>
    <w:qFormat/>
    <w:rPr>
      <w:rFonts w:cs="Courier New"/>
    </w:rPr>
  </w:style>
  <w:style w:type="character" w:customStyle="1" w:styleId="ListLabel1145">
    <w:name w:val="ListLabel 1145"/>
    <w:qFormat/>
    <w:rPr>
      <w:rFonts w:cs="Wingdings"/>
    </w:rPr>
  </w:style>
  <w:style w:type="character" w:customStyle="1" w:styleId="ListLabel1146">
    <w:name w:val="ListLabel 1146"/>
    <w:qFormat/>
    <w:rPr>
      <w:rFonts w:cs="Symbol"/>
    </w:rPr>
  </w:style>
  <w:style w:type="character" w:customStyle="1" w:styleId="ListLabel1147">
    <w:name w:val="ListLabel 1147"/>
    <w:qFormat/>
    <w:rPr>
      <w:rFonts w:cs="Courier New"/>
    </w:rPr>
  </w:style>
  <w:style w:type="character" w:customStyle="1" w:styleId="ListLabel1148">
    <w:name w:val="ListLabel 1148"/>
    <w:qFormat/>
    <w:rPr>
      <w:rFonts w:cs="Wingdings"/>
    </w:rPr>
  </w:style>
  <w:style w:type="character" w:customStyle="1" w:styleId="ListLabel1149">
    <w:name w:val="ListLabel 1149"/>
    <w:qFormat/>
    <w:rPr>
      <w:rFonts w:cs="Symbol"/>
    </w:rPr>
  </w:style>
  <w:style w:type="character" w:customStyle="1" w:styleId="ListLabel1150">
    <w:name w:val="ListLabel 1150"/>
    <w:qFormat/>
    <w:rPr>
      <w:rFonts w:cs="Courier New"/>
    </w:rPr>
  </w:style>
  <w:style w:type="character" w:customStyle="1" w:styleId="ListLabel1151">
    <w:name w:val="ListLabel 1151"/>
    <w:qFormat/>
    <w:rPr>
      <w:rFonts w:cs="Wingdings"/>
    </w:rPr>
  </w:style>
  <w:style w:type="character" w:customStyle="1" w:styleId="ListLabel1152">
    <w:name w:val="ListLabel 1152"/>
    <w:qFormat/>
    <w:rPr>
      <w:rFonts w:cs="Symbol"/>
      <w:sz w:val="22"/>
    </w:rPr>
  </w:style>
  <w:style w:type="character" w:customStyle="1" w:styleId="ListLabel1153">
    <w:name w:val="ListLabel 1153"/>
    <w:qFormat/>
    <w:rPr>
      <w:rFonts w:cs="Symbol"/>
    </w:rPr>
  </w:style>
  <w:style w:type="character" w:customStyle="1" w:styleId="ListLabel1154">
    <w:name w:val="ListLabel 1154"/>
    <w:qFormat/>
    <w:rPr>
      <w:rFonts w:ascii="Times New Roman" w:hAnsi="Times New Roman" w:cs="Wingdings"/>
      <w:b/>
      <w:i w:val="0"/>
      <w:color w:val="00000A"/>
      <w:sz w:val="22"/>
      <w:szCs w:val="16"/>
    </w:rPr>
  </w:style>
  <w:style w:type="character" w:customStyle="1" w:styleId="ListLabel1155">
    <w:name w:val="ListLabel 1155"/>
    <w:qFormat/>
    <w:rPr>
      <w:rFonts w:cs="Courier New"/>
    </w:rPr>
  </w:style>
  <w:style w:type="character" w:customStyle="1" w:styleId="ListLabel1156">
    <w:name w:val="ListLabel 1156"/>
    <w:qFormat/>
    <w:rPr>
      <w:rFonts w:cs="Wingdings"/>
    </w:rPr>
  </w:style>
  <w:style w:type="character" w:customStyle="1" w:styleId="ListLabel1157">
    <w:name w:val="ListLabel 1157"/>
    <w:qFormat/>
    <w:rPr>
      <w:rFonts w:cs="Symbol"/>
    </w:rPr>
  </w:style>
  <w:style w:type="character" w:customStyle="1" w:styleId="ListLabel1158">
    <w:name w:val="ListLabel 1158"/>
    <w:qFormat/>
    <w:rPr>
      <w:rFonts w:cs="Courier New"/>
    </w:rPr>
  </w:style>
  <w:style w:type="character" w:customStyle="1" w:styleId="ListLabel1159">
    <w:name w:val="ListLabel 1159"/>
    <w:qFormat/>
    <w:rPr>
      <w:rFonts w:cs="Wingdings"/>
    </w:rPr>
  </w:style>
  <w:style w:type="character" w:customStyle="1" w:styleId="ListLabel1160">
    <w:name w:val="ListLabel 1160"/>
    <w:qFormat/>
    <w:rPr>
      <w:rFonts w:cs="Symbol"/>
    </w:rPr>
  </w:style>
  <w:style w:type="character" w:customStyle="1" w:styleId="ListLabel1161">
    <w:name w:val="ListLabel 1161"/>
    <w:qFormat/>
    <w:rPr>
      <w:rFonts w:cs="Courier New"/>
    </w:rPr>
  </w:style>
  <w:style w:type="character" w:customStyle="1" w:styleId="ListLabel1162">
    <w:name w:val="ListLabel 1162"/>
    <w:qFormat/>
    <w:rPr>
      <w:rFonts w:cs="Wingdings"/>
    </w:rPr>
  </w:style>
  <w:style w:type="character" w:customStyle="1" w:styleId="ListLabel1163">
    <w:name w:val="ListLabel 1163"/>
    <w:qFormat/>
    <w:rPr>
      <w:rFonts w:ascii="Times New Roman" w:hAnsi="Times New Roman" w:cs="TimesNewRomanPS-BoldMT"/>
      <w:b/>
      <w:color w:val="00000A"/>
      <w:sz w:val="22"/>
    </w:rPr>
  </w:style>
  <w:style w:type="character" w:customStyle="1" w:styleId="ListLabel1164">
    <w:name w:val="ListLabel 1164"/>
    <w:qFormat/>
    <w:rPr>
      <w:rFonts w:cs="Courier New"/>
    </w:rPr>
  </w:style>
  <w:style w:type="character" w:customStyle="1" w:styleId="ListLabel1165">
    <w:name w:val="ListLabel 1165"/>
    <w:qFormat/>
    <w:rPr>
      <w:rFonts w:cs="Wingdings"/>
    </w:rPr>
  </w:style>
  <w:style w:type="character" w:customStyle="1" w:styleId="ListLabel1166">
    <w:name w:val="ListLabel 1166"/>
    <w:qFormat/>
    <w:rPr>
      <w:rFonts w:cs="Symbol"/>
    </w:rPr>
  </w:style>
  <w:style w:type="character" w:customStyle="1" w:styleId="ListLabel1167">
    <w:name w:val="ListLabel 1167"/>
    <w:qFormat/>
    <w:rPr>
      <w:rFonts w:cs="Courier New"/>
    </w:rPr>
  </w:style>
  <w:style w:type="character" w:customStyle="1" w:styleId="ListLabel1168">
    <w:name w:val="ListLabel 1168"/>
    <w:qFormat/>
    <w:rPr>
      <w:rFonts w:cs="Wingdings"/>
    </w:rPr>
  </w:style>
  <w:style w:type="character" w:customStyle="1" w:styleId="ListLabel1169">
    <w:name w:val="ListLabel 1169"/>
    <w:qFormat/>
    <w:rPr>
      <w:rFonts w:cs="Symbol"/>
    </w:rPr>
  </w:style>
  <w:style w:type="character" w:customStyle="1" w:styleId="ListLabel1170">
    <w:name w:val="ListLabel 1170"/>
    <w:qFormat/>
    <w:rPr>
      <w:rFonts w:cs="Courier New"/>
    </w:rPr>
  </w:style>
  <w:style w:type="character" w:customStyle="1" w:styleId="ListLabel1171">
    <w:name w:val="ListLabel 1171"/>
    <w:qFormat/>
    <w:rPr>
      <w:rFonts w:cs="Wingdings"/>
    </w:rPr>
  </w:style>
  <w:style w:type="character" w:customStyle="1" w:styleId="ListLabel1172">
    <w:name w:val="ListLabel 1172"/>
    <w:qFormat/>
    <w:rPr>
      <w:rFonts w:cs="Wingdings"/>
      <w:b w:val="0"/>
      <w:i/>
      <w:color w:val="00000A"/>
      <w:sz w:val="22"/>
      <w:u w:val="none" w:color="000000"/>
    </w:rPr>
  </w:style>
  <w:style w:type="character" w:customStyle="1" w:styleId="ListLabel1173">
    <w:name w:val="ListLabel 1173"/>
    <w:qFormat/>
    <w:rPr>
      <w:rFonts w:cs="Courier New"/>
      <w:sz w:val="20"/>
    </w:rPr>
  </w:style>
  <w:style w:type="character" w:customStyle="1" w:styleId="ListLabel1174">
    <w:name w:val="ListLabel 1174"/>
    <w:qFormat/>
    <w:rPr>
      <w:rFonts w:cs="Wingdings"/>
      <w:sz w:val="20"/>
    </w:rPr>
  </w:style>
  <w:style w:type="character" w:customStyle="1" w:styleId="ListLabel1175">
    <w:name w:val="ListLabel 1175"/>
    <w:qFormat/>
    <w:rPr>
      <w:rFonts w:cs="Wingdings"/>
      <w:sz w:val="20"/>
    </w:rPr>
  </w:style>
  <w:style w:type="character" w:customStyle="1" w:styleId="ListLabel1176">
    <w:name w:val="ListLabel 1176"/>
    <w:qFormat/>
    <w:rPr>
      <w:rFonts w:cs="Wingdings"/>
      <w:sz w:val="20"/>
    </w:rPr>
  </w:style>
  <w:style w:type="character" w:customStyle="1" w:styleId="ListLabel1177">
    <w:name w:val="ListLabel 1177"/>
    <w:qFormat/>
    <w:rPr>
      <w:rFonts w:cs="Wingdings"/>
      <w:sz w:val="20"/>
    </w:rPr>
  </w:style>
  <w:style w:type="character" w:customStyle="1" w:styleId="ListLabel1178">
    <w:name w:val="ListLabel 1178"/>
    <w:qFormat/>
    <w:rPr>
      <w:rFonts w:cs="Wingdings"/>
      <w:sz w:val="20"/>
    </w:rPr>
  </w:style>
  <w:style w:type="character" w:customStyle="1" w:styleId="ListLabel1179">
    <w:name w:val="ListLabel 1179"/>
    <w:qFormat/>
    <w:rPr>
      <w:rFonts w:cs="Wingdings"/>
      <w:sz w:val="20"/>
    </w:rPr>
  </w:style>
  <w:style w:type="character" w:customStyle="1" w:styleId="ListLabel1180">
    <w:name w:val="ListLabel 1180"/>
    <w:qFormat/>
    <w:rPr>
      <w:rFonts w:cs="Wingdings"/>
      <w:sz w:val="20"/>
    </w:rPr>
  </w:style>
  <w:style w:type="character" w:customStyle="1" w:styleId="ListLabel1181">
    <w:name w:val="ListLabel 1181"/>
    <w:qFormat/>
    <w:rPr>
      <w:rFonts w:cs="Symbol"/>
      <w:sz w:val="22"/>
    </w:rPr>
  </w:style>
  <w:style w:type="character" w:customStyle="1" w:styleId="ListLabel1182">
    <w:name w:val="ListLabel 1182"/>
    <w:qFormat/>
    <w:rPr>
      <w:rFonts w:cs="Courier New"/>
    </w:rPr>
  </w:style>
  <w:style w:type="character" w:customStyle="1" w:styleId="ListLabel1183">
    <w:name w:val="ListLabel 1183"/>
    <w:qFormat/>
    <w:rPr>
      <w:rFonts w:cs="Wingdings"/>
    </w:rPr>
  </w:style>
  <w:style w:type="character" w:customStyle="1" w:styleId="ListLabel1184">
    <w:name w:val="ListLabel 1184"/>
    <w:qFormat/>
    <w:rPr>
      <w:rFonts w:cs="Symbol"/>
    </w:rPr>
  </w:style>
  <w:style w:type="character" w:customStyle="1" w:styleId="ListLabel1185">
    <w:name w:val="ListLabel 1185"/>
    <w:qFormat/>
    <w:rPr>
      <w:rFonts w:cs="Courier New"/>
    </w:rPr>
  </w:style>
  <w:style w:type="character" w:customStyle="1" w:styleId="ListLabel1186">
    <w:name w:val="ListLabel 1186"/>
    <w:qFormat/>
    <w:rPr>
      <w:rFonts w:cs="Wingdings"/>
    </w:rPr>
  </w:style>
  <w:style w:type="character" w:customStyle="1" w:styleId="ListLabel1187">
    <w:name w:val="ListLabel 1187"/>
    <w:qFormat/>
    <w:rPr>
      <w:rFonts w:cs="Symbol"/>
    </w:rPr>
  </w:style>
  <w:style w:type="character" w:customStyle="1" w:styleId="ListLabel1188">
    <w:name w:val="ListLabel 1188"/>
    <w:qFormat/>
    <w:rPr>
      <w:rFonts w:cs="Courier New"/>
    </w:rPr>
  </w:style>
  <w:style w:type="character" w:customStyle="1" w:styleId="ListLabel1189">
    <w:name w:val="ListLabel 1189"/>
    <w:qFormat/>
    <w:rPr>
      <w:rFonts w:cs="Wingdings"/>
    </w:rPr>
  </w:style>
  <w:style w:type="character" w:customStyle="1" w:styleId="ListLabel1190">
    <w:name w:val="ListLabel 1190"/>
    <w:qFormat/>
    <w:rPr>
      <w:rFonts w:ascii="Times New Roman" w:hAnsi="Times New Roman" w:cs="Wingdings"/>
      <w:b/>
      <w:sz w:val="22"/>
    </w:rPr>
  </w:style>
  <w:style w:type="character" w:customStyle="1" w:styleId="ListLabel1191">
    <w:name w:val="ListLabel 1191"/>
    <w:qFormat/>
    <w:rPr>
      <w:rFonts w:cs="Courier New"/>
    </w:rPr>
  </w:style>
  <w:style w:type="character" w:customStyle="1" w:styleId="ListLabel1192">
    <w:name w:val="ListLabel 1192"/>
    <w:qFormat/>
    <w:rPr>
      <w:rFonts w:cs="Wingdings"/>
    </w:rPr>
  </w:style>
  <w:style w:type="character" w:customStyle="1" w:styleId="ListLabel1193">
    <w:name w:val="ListLabel 1193"/>
    <w:qFormat/>
    <w:rPr>
      <w:rFonts w:cs="Symbol"/>
    </w:rPr>
  </w:style>
  <w:style w:type="character" w:customStyle="1" w:styleId="ListLabel1194">
    <w:name w:val="ListLabel 1194"/>
    <w:qFormat/>
    <w:rPr>
      <w:rFonts w:cs="Courier New"/>
    </w:rPr>
  </w:style>
  <w:style w:type="character" w:customStyle="1" w:styleId="ListLabel1195">
    <w:name w:val="ListLabel 1195"/>
    <w:qFormat/>
    <w:rPr>
      <w:rFonts w:cs="Wingdings"/>
    </w:rPr>
  </w:style>
  <w:style w:type="character" w:customStyle="1" w:styleId="ListLabel1196">
    <w:name w:val="ListLabel 1196"/>
    <w:qFormat/>
    <w:rPr>
      <w:rFonts w:cs="Symbol"/>
    </w:rPr>
  </w:style>
  <w:style w:type="character" w:customStyle="1" w:styleId="ListLabel1197">
    <w:name w:val="ListLabel 1197"/>
    <w:qFormat/>
    <w:rPr>
      <w:rFonts w:cs="Courier New"/>
    </w:rPr>
  </w:style>
  <w:style w:type="character" w:customStyle="1" w:styleId="ListLabel1198">
    <w:name w:val="ListLabel 1198"/>
    <w:qFormat/>
    <w:rPr>
      <w:rFonts w:cs="Wingdings"/>
    </w:rPr>
  </w:style>
  <w:style w:type="character" w:customStyle="1" w:styleId="ListLabel1199">
    <w:name w:val="ListLabel 1199"/>
    <w:qFormat/>
    <w:rPr>
      <w:rFonts w:ascii="Times New Roman" w:hAnsi="Times New Roman" w:cs="Wingdings"/>
      <w:b/>
      <w:sz w:val="22"/>
    </w:rPr>
  </w:style>
  <w:style w:type="character" w:customStyle="1" w:styleId="ListLabel1200">
    <w:name w:val="ListLabel 1200"/>
    <w:qFormat/>
    <w:rPr>
      <w:rFonts w:cs="Courier New"/>
    </w:rPr>
  </w:style>
  <w:style w:type="character" w:customStyle="1" w:styleId="ListLabel1201">
    <w:name w:val="ListLabel 1201"/>
    <w:qFormat/>
    <w:rPr>
      <w:rFonts w:cs="Wingdings"/>
    </w:rPr>
  </w:style>
  <w:style w:type="character" w:customStyle="1" w:styleId="ListLabel1202">
    <w:name w:val="ListLabel 1202"/>
    <w:qFormat/>
    <w:rPr>
      <w:rFonts w:cs="Symbol"/>
    </w:rPr>
  </w:style>
  <w:style w:type="character" w:customStyle="1" w:styleId="ListLabel1203">
    <w:name w:val="ListLabel 1203"/>
    <w:qFormat/>
    <w:rPr>
      <w:rFonts w:cs="Courier New"/>
    </w:rPr>
  </w:style>
  <w:style w:type="character" w:customStyle="1" w:styleId="ListLabel1204">
    <w:name w:val="ListLabel 1204"/>
    <w:qFormat/>
    <w:rPr>
      <w:rFonts w:cs="Wingdings"/>
    </w:rPr>
  </w:style>
  <w:style w:type="character" w:customStyle="1" w:styleId="ListLabel1205">
    <w:name w:val="ListLabel 1205"/>
    <w:qFormat/>
    <w:rPr>
      <w:rFonts w:cs="Symbol"/>
    </w:rPr>
  </w:style>
  <w:style w:type="character" w:customStyle="1" w:styleId="ListLabel1206">
    <w:name w:val="ListLabel 1206"/>
    <w:qFormat/>
    <w:rPr>
      <w:rFonts w:cs="Courier New"/>
    </w:rPr>
  </w:style>
  <w:style w:type="character" w:customStyle="1" w:styleId="ListLabel1207">
    <w:name w:val="ListLabel 1207"/>
    <w:qFormat/>
    <w:rPr>
      <w:rFonts w:cs="Wingdings"/>
    </w:rPr>
  </w:style>
  <w:style w:type="character" w:customStyle="1" w:styleId="ListLabel1208">
    <w:name w:val="ListLabel 1208"/>
    <w:qFormat/>
    <w:rPr>
      <w:rFonts w:ascii="Times New Roman" w:hAnsi="Times New Roman" w:cs="Wingdings"/>
      <w:sz w:val="22"/>
    </w:rPr>
  </w:style>
  <w:style w:type="character" w:customStyle="1" w:styleId="ListLabel1209">
    <w:name w:val="ListLabel 1209"/>
    <w:qFormat/>
    <w:rPr>
      <w:rFonts w:cs="Courier New"/>
    </w:rPr>
  </w:style>
  <w:style w:type="character" w:customStyle="1" w:styleId="ListLabel1210">
    <w:name w:val="ListLabel 1210"/>
    <w:qFormat/>
    <w:rPr>
      <w:rFonts w:cs="Wingdings"/>
    </w:rPr>
  </w:style>
  <w:style w:type="character" w:customStyle="1" w:styleId="ListLabel1211">
    <w:name w:val="ListLabel 1211"/>
    <w:qFormat/>
    <w:rPr>
      <w:rFonts w:cs="Symbol"/>
    </w:rPr>
  </w:style>
  <w:style w:type="character" w:customStyle="1" w:styleId="ListLabel1212">
    <w:name w:val="ListLabel 1212"/>
    <w:qFormat/>
    <w:rPr>
      <w:rFonts w:cs="Courier New"/>
    </w:rPr>
  </w:style>
  <w:style w:type="character" w:customStyle="1" w:styleId="ListLabel1213">
    <w:name w:val="ListLabel 1213"/>
    <w:qFormat/>
    <w:rPr>
      <w:rFonts w:cs="Wingdings"/>
    </w:rPr>
  </w:style>
  <w:style w:type="character" w:customStyle="1" w:styleId="ListLabel1214">
    <w:name w:val="ListLabel 1214"/>
    <w:qFormat/>
    <w:rPr>
      <w:rFonts w:cs="Symbol"/>
    </w:rPr>
  </w:style>
  <w:style w:type="character" w:customStyle="1" w:styleId="ListLabel1215">
    <w:name w:val="ListLabel 1215"/>
    <w:qFormat/>
    <w:rPr>
      <w:rFonts w:cs="Courier New"/>
    </w:rPr>
  </w:style>
  <w:style w:type="character" w:customStyle="1" w:styleId="ListLabel1216">
    <w:name w:val="ListLabel 1216"/>
    <w:qFormat/>
    <w:rPr>
      <w:rFonts w:cs="Wingdings"/>
    </w:rPr>
  </w:style>
  <w:style w:type="character" w:customStyle="1" w:styleId="ListLabel1217">
    <w:name w:val="ListLabel 1217"/>
    <w:qFormat/>
    <w:rPr>
      <w:rFonts w:cs="Symbol"/>
      <w:sz w:val="22"/>
    </w:rPr>
  </w:style>
  <w:style w:type="character" w:customStyle="1" w:styleId="ListLabel1218">
    <w:name w:val="ListLabel 1218"/>
    <w:qFormat/>
    <w:rPr>
      <w:rFonts w:cs="Courier New"/>
      <w:sz w:val="20"/>
    </w:rPr>
  </w:style>
  <w:style w:type="character" w:customStyle="1" w:styleId="ListLabel1219">
    <w:name w:val="ListLabel 1219"/>
    <w:qFormat/>
    <w:rPr>
      <w:rFonts w:cs="Wingdings"/>
      <w:sz w:val="20"/>
    </w:rPr>
  </w:style>
  <w:style w:type="character" w:customStyle="1" w:styleId="ListLabel1220">
    <w:name w:val="ListLabel 1220"/>
    <w:qFormat/>
    <w:rPr>
      <w:rFonts w:cs="Wingdings"/>
      <w:sz w:val="20"/>
    </w:rPr>
  </w:style>
  <w:style w:type="character" w:customStyle="1" w:styleId="ListLabel1221">
    <w:name w:val="ListLabel 1221"/>
    <w:qFormat/>
    <w:rPr>
      <w:rFonts w:cs="Wingdings"/>
      <w:sz w:val="20"/>
    </w:rPr>
  </w:style>
  <w:style w:type="character" w:customStyle="1" w:styleId="ListLabel1222">
    <w:name w:val="ListLabel 1222"/>
    <w:qFormat/>
    <w:rPr>
      <w:rFonts w:cs="Wingdings"/>
      <w:sz w:val="20"/>
    </w:rPr>
  </w:style>
  <w:style w:type="character" w:customStyle="1" w:styleId="ListLabel1223">
    <w:name w:val="ListLabel 1223"/>
    <w:qFormat/>
    <w:rPr>
      <w:rFonts w:cs="Wingdings"/>
      <w:sz w:val="20"/>
    </w:rPr>
  </w:style>
  <w:style w:type="character" w:customStyle="1" w:styleId="ListLabel1224">
    <w:name w:val="ListLabel 1224"/>
    <w:qFormat/>
    <w:rPr>
      <w:rFonts w:cs="Wingdings"/>
      <w:sz w:val="20"/>
    </w:rPr>
  </w:style>
  <w:style w:type="character" w:customStyle="1" w:styleId="ListLabel1225">
    <w:name w:val="ListLabel 1225"/>
    <w:qFormat/>
    <w:rPr>
      <w:rFonts w:cs="Wingdings"/>
      <w:sz w:val="20"/>
    </w:rPr>
  </w:style>
  <w:style w:type="character" w:customStyle="1" w:styleId="ListLabel1226">
    <w:name w:val="ListLabel 1226"/>
    <w:qFormat/>
    <w:rPr>
      <w:rFonts w:ascii="Times New Roman" w:hAnsi="Times New Roman" w:cs="Wingdings"/>
      <w:sz w:val="22"/>
    </w:rPr>
  </w:style>
  <w:style w:type="character" w:customStyle="1" w:styleId="ListLabel1227">
    <w:name w:val="ListLabel 1227"/>
    <w:qFormat/>
    <w:rPr>
      <w:rFonts w:cs="Times New Roman"/>
    </w:rPr>
  </w:style>
  <w:style w:type="character" w:customStyle="1" w:styleId="ListLabel1228">
    <w:name w:val="ListLabel 1228"/>
    <w:qFormat/>
    <w:rPr>
      <w:rFonts w:cs="Wingdings"/>
    </w:rPr>
  </w:style>
  <w:style w:type="character" w:customStyle="1" w:styleId="ListLabel1229">
    <w:name w:val="ListLabel 1229"/>
    <w:qFormat/>
    <w:rPr>
      <w:rFonts w:cs="Symbol"/>
    </w:rPr>
  </w:style>
  <w:style w:type="character" w:customStyle="1" w:styleId="ListLabel1230">
    <w:name w:val="ListLabel 1230"/>
    <w:qFormat/>
    <w:rPr>
      <w:rFonts w:cs="Courier New"/>
    </w:rPr>
  </w:style>
  <w:style w:type="character" w:customStyle="1" w:styleId="ListLabel1231">
    <w:name w:val="ListLabel 1231"/>
    <w:qFormat/>
    <w:rPr>
      <w:rFonts w:cs="Wingdings"/>
    </w:rPr>
  </w:style>
  <w:style w:type="character" w:customStyle="1" w:styleId="ListLabel1232">
    <w:name w:val="ListLabel 1232"/>
    <w:qFormat/>
    <w:rPr>
      <w:rFonts w:cs="Symbol"/>
    </w:rPr>
  </w:style>
  <w:style w:type="character" w:customStyle="1" w:styleId="ListLabel1233">
    <w:name w:val="ListLabel 1233"/>
    <w:qFormat/>
    <w:rPr>
      <w:rFonts w:cs="Courier New"/>
    </w:rPr>
  </w:style>
  <w:style w:type="character" w:customStyle="1" w:styleId="ListLabel1234">
    <w:name w:val="ListLabel 1234"/>
    <w:qFormat/>
    <w:rPr>
      <w:rFonts w:cs="Wingdings"/>
    </w:rPr>
  </w:style>
  <w:style w:type="character" w:customStyle="1" w:styleId="ListLabel1235">
    <w:name w:val="ListLabel 1235"/>
    <w:qFormat/>
    <w:rPr>
      <w:rFonts w:cs="Symbol"/>
    </w:rPr>
  </w:style>
  <w:style w:type="character" w:customStyle="1" w:styleId="ListLabel1236">
    <w:name w:val="ListLabel 1236"/>
    <w:qFormat/>
    <w:rPr>
      <w:rFonts w:ascii="Times New Roman" w:hAnsi="Times New Roman" w:cs="Symbol"/>
      <w:sz w:val="22"/>
    </w:rPr>
  </w:style>
  <w:style w:type="character" w:customStyle="1" w:styleId="ListLabel1237">
    <w:name w:val="ListLabel 1237"/>
    <w:qFormat/>
    <w:rPr>
      <w:rFonts w:cs="Wingdings"/>
    </w:rPr>
  </w:style>
  <w:style w:type="character" w:customStyle="1" w:styleId="ListLabel1238">
    <w:name w:val="ListLabel 1238"/>
    <w:qFormat/>
    <w:rPr>
      <w:rFonts w:cs="Symbol"/>
    </w:rPr>
  </w:style>
  <w:style w:type="character" w:customStyle="1" w:styleId="ListLabel1239">
    <w:name w:val="ListLabel 1239"/>
    <w:qFormat/>
    <w:rPr>
      <w:rFonts w:cs="Courier New"/>
    </w:rPr>
  </w:style>
  <w:style w:type="character" w:customStyle="1" w:styleId="ListLabel1240">
    <w:name w:val="ListLabel 1240"/>
    <w:qFormat/>
    <w:rPr>
      <w:rFonts w:cs="Wingdings"/>
    </w:rPr>
  </w:style>
  <w:style w:type="character" w:customStyle="1" w:styleId="ListLabel1241">
    <w:name w:val="ListLabel 1241"/>
    <w:qFormat/>
    <w:rPr>
      <w:rFonts w:cs="Symbol"/>
    </w:rPr>
  </w:style>
  <w:style w:type="character" w:customStyle="1" w:styleId="ListLabel1242">
    <w:name w:val="ListLabel 1242"/>
    <w:qFormat/>
    <w:rPr>
      <w:rFonts w:cs="Courier New"/>
    </w:rPr>
  </w:style>
  <w:style w:type="character" w:customStyle="1" w:styleId="ListLabel1243">
    <w:name w:val="ListLabel 1243"/>
    <w:qFormat/>
    <w:rPr>
      <w:rFonts w:cs="Wingdings"/>
    </w:rPr>
  </w:style>
  <w:style w:type="character" w:customStyle="1" w:styleId="ListLabel1244">
    <w:name w:val="ListLabel 1244"/>
    <w:qFormat/>
    <w:rPr>
      <w:rFonts w:ascii="Times New Roman" w:hAnsi="Times New Roman" w:cs="Symbol"/>
      <w:sz w:val="22"/>
    </w:rPr>
  </w:style>
  <w:style w:type="character" w:customStyle="1" w:styleId="ListLabel1245">
    <w:name w:val="ListLabel 1245"/>
    <w:qFormat/>
    <w:rPr>
      <w:rFonts w:cs="Courier New"/>
    </w:rPr>
  </w:style>
  <w:style w:type="character" w:customStyle="1" w:styleId="ListLabel1246">
    <w:name w:val="ListLabel 1246"/>
    <w:qFormat/>
    <w:rPr>
      <w:rFonts w:cs="Wingdings"/>
    </w:rPr>
  </w:style>
  <w:style w:type="character" w:customStyle="1" w:styleId="ListLabel1247">
    <w:name w:val="ListLabel 1247"/>
    <w:qFormat/>
    <w:rPr>
      <w:rFonts w:cs="Symbol"/>
    </w:rPr>
  </w:style>
  <w:style w:type="character" w:customStyle="1" w:styleId="ListLabel1248">
    <w:name w:val="ListLabel 1248"/>
    <w:qFormat/>
    <w:rPr>
      <w:rFonts w:cs="Courier New"/>
    </w:rPr>
  </w:style>
  <w:style w:type="character" w:customStyle="1" w:styleId="ListLabel1249">
    <w:name w:val="ListLabel 1249"/>
    <w:qFormat/>
    <w:rPr>
      <w:rFonts w:cs="Wingdings"/>
    </w:rPr>
  </w:style>
  <w:style w:type="character" w:customStyle="1" w:styleId="ListLabel1250">
    <w:name w:val="ListLabel 1250"/>
    <w:qFormat/>
    <w:rPr>
      <w:rFonts w:cs="Symbol"/>
    </w:rPr>
  </w:style>
  <w:style w:type="character" w:customStyle="1" w:styleId="ListLabel1251">
    <w:name w:val="ListLabel 1251"/>
    <w:qFormat/>
    <w:rPr>
      <w:rFonts w:cs="Courier New"/>
    </w:rPr>
  </w:style>
  <w:style w:type="character" w:customStyle="1" w:styleId="ListLabel1252">
    <w:name w:val="ListLabel 1252"/>
    <w:qFormat/>
    <w:rPr>
      <w:rFonts w:cs="Wingdings"/>
    </w:rPr>
  </w:style>
  <w:style w:type="character" w:customStyle="1" w:styleId="ListLabel1253">
    <w:name w:val="ListLabel 1253"/>
    <w:qFormat/>
    <w:rPr>
      <w:rFonts w:ascii="Times New Roman" w:hAnsi="Times New Roman" w:cs="TimesNewRomanPS-BoldMT"/>
      <w:sz w:val="22"/>
    </w:rPr>
  </w:style>
  <w:style w:type="character" w:customStyle="1" w:styleId="ListLabel1254">
    <w:name w:val="ListLabel 1254"/>
    <w:qFormat/>
    <w:rPr>
      <w:rFonts w:cs="Courier New"/>
    </w:rPr>
  </w:style>
  <w:style w:type="character" w:customStyle="1" w:styleId="ListLabel1255">
    <w:name w:val="ListLabel 1255"/>
    <w:qFormat/>
    <w:rPr>
      <w:rFonts w:cs="Wingdings"/>
    </w:rPr>
  </w:style>
  <w:style w:type="character" w:customStyle="1" w:styleId="ListLabel1256">
    <w:name w:val="ListLabel 1256"/>
    <w:qFormat/>
    <w:rPr>
      <w:rFonts w:cs="Symbol"/>
    </w:rPr>
  </w:style>
  <w:style w:type="character" w:customStyle="1" w:styleId="ListLabel1257">
    <w:name w:val="ListLabel 1257"/>
    <w:qFormat/>
    <w:rPr>
      <w:rFonts w:cs="Courier New"/>
    </w:rPr>
  </w:style>
  <w:style w:type="character" w:customStyle="1" w:styleId="ListLabel1258">
    <w:name w:val="ListLabel 1258"/>
    <w:qFormat/>
    <w:rPr>
      <w:rFonts w:cs="Wingdings"/>
    </w:rPr>
  </w:style>
  <w:style w:type="character" w:customStyle="1" w:styleId="ListLabel1259">
    <w:name w:val="ListLabel 1259"/>
    <w:qFormat/>
    <w:rPr>
      <w:rFonts w:cs="Symbol"/>
    </w:rPr>
  </w:style>
  <w:style w:type="character" w:customStyle="1" w:styleId="ListLabel1260">
    <w:name w:val="ListLabel 1260"/>
    <w:qFormat/>
    <w:rPr>
      <w:rFonts w:cs="Courier New"/>
    </w:rPr>
  </w:style>
  <w:style w:type="character" w:customStyle="1" w:styleId="ListLabel1261">
    <w:name w:val="ListLabel 1261"/>
    <w:qFormat/>
    <w:rPr>
      <w:rFonts w:cs="Wingdings"/>
    </w:rPr>
  </w:style>
  <w:style w:type="character" w:customStyle="1" w:styleId="ListLabel1262">
    <w:name w:val="ListLabel 1262"/>
    <w:qFormat/>
    <w:rPr>
      <w:rFonts w:cs="Symbol"/>
      <w:sz w:val="22"/>
    </w:rPr>
  </w:style>
  <w:style w:type="character" w:customStyle="1" w:styleId="ListLabel1263">
    <w:name w:val="ListLabel 1263"/>
    <w:qFormat/>
    <w:rPr>
      <w:rFonts w:cs="Symbol"/>
    </w:rPr>
  </w:style>
  <w:style w:type="character" w:customStyle="1" w:styleId="ListLabel1264">
    <w:name w:val="ListLabel 1264"/>
    <w:qFormat/>
    <w:rPr>
      <w:rFonts w:ascii="Times New Roman" w:hAnsi="Times New Roman" w:cs="Wingdings"/>
      <w:b/>
      <w:i w:val="0"/>
      <w:color w:val="00000A"/>
      <w:sz w:val="22"/>
      <w:szCs w:val="16"/>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ascii="Times New Roman" w:hAnsi="Times New Roman" w:cs="TimesNewRomanPS-BoldMT"/>
      <w:b/>
      <w:color w:val="00000A"/>
      <w:sz w:val="22"/>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cs="Wingdings"/>
      <w:b w:val="0"/>
      <w:i/>
      <w:color w:val="00000A"/>
      <w:sz w:val="22"/>
      <w:u w:val="none" w:color="000000"/>
    </w:rPr>
  </w:style>
  <w:style w:type="character" w:customStyle="1" w:styleId="ListLabel1283">
    <w:name w:val="ListLabel 1283"/>
    <w:qFormat/>
    <w:rPr>
      <w:rFonts w:cs="Courier New"/>
      <w:sz w:val="20"/>
    </w:rPr>
  </w:style>
  <w:style w:type="character" w:customStyle="1" w:styleId="ListLabel1284">
    <w:name w:val="ListLabel 1284"/>
    <w:qFormat/>
    <w:rPr>
      <w:rFonts w:cs="Wingdings"/>
      <w:sz w:val="20"/>
    </w:rPr>
  </w:style>
  <w:style w:type="character" w:customStyle="1" w:styleId="ListLabel1285">
    <w:name w:val="ListLabel 1285"/>
    <w:qFormat/>
    <w:rPr>
      <w:rFonts w:cs="Wingdings"/>
      <w:sz w:val="20"/>
    </w:rPr>
  </w:style>
  <w:style w:type="character" w:customStyle="1" w:styleId="ListLabel1286">
    <w:name w:val="ListLabel 1286"/>
    <w:qFormat/>
    <w:rPr>
      <w:rFonts w:cs="Wingdings"/>
      <w:sz w:val="20"/>
    </w:rPr>
  </w:style>
  <w:style w:type="character" w:customStyle="1" w:styleId="ListLabel1287">
    <w:name w:val="ListLabel 1287"/>
    <w:qFormat/>
    <w:rPr>
      <w:rFonts w:cs="Wingdings"/>
      <w:sz w:val="20"/>
    </w:rPr>
  </w:style>
  <w:style w:type="character" w:customStyle="1" w:styleId="ListLabel1288">
    <w:name w:val="ListLabel 1288"/>
    <w:qFormat/>
    <w:rPr>
      <w:rFonts w:cs="Wingdings"/>
      <w:sz w:val="20"/>
    </w:rPr>
  </w:style>
  <w:style w:type="character" w:customStyle="1" w:styleId="ListLabel1289">
    <w:name w:val="ListLabel 1289"/>
    <w:qFormat/>
    <w:rPr>
      <w:rFonts w:cs="Wingdings"/>
      <w:sz w:val="20"/>
    </w:rPr>
  </w:style>
  <w:style w:type="character" w:customStyle="1" w:styleId="ListLabel1290">
    <w:name w:val="ListLabel 1290"/>
    <w:qFormat/>
    <w:rPr>
      <w:rFonts w:cs="Wingdings"/>
      <w:sz w:val="20"/>
    </w:rPr>
  </w:style>
  <w:style w:type="paragraph" w:styleId="Ttulo">
    <w:name w:val="Title"/>
    <w:basedOn w:val="Normal"/>
    <w:next w:val="Corpodetexto"/>
    <w:link w:val="TtuloChar"/>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uiPriority w:val="99"/>
    <w:rsid w:val="009B654B"/>
    <w:rPr>
      <w:rFonts w:asciiTheme="minorHAnsi" w:hAnsiTheme="minorHAnsi" w:cs="Mangal"/>
      <w:szCs w:val="22"/>
    </w:rPr>
  </w:style>
  <w:style w:type="paragraph" w:styleId="Legenda">
    <w:name w:val="caption"/>
    <w:basedOn w:val="Normal"/>
    <w:uiPriority w:val="35"/>
    <w:qFormat/>
    <w:rsid w:val="009B654B"/>
    <w:pPr>
      <w:widowControl/>
      <w:suppressLineNumbers/>
      <w:spacing w:before="120" w:after="120" w:line="276" w:lineRule="auto"/>
      <w:ind w:left="-20" w:firstLine="720"/>
      <w:jc w:val="both"/>
    </w:pPr>
    <w:rPr>
      <w:rFonts w:ascii="Arial" w:eastAsia="Times New Roman" w:hAnsi="Arial" w:cs="Mangal"/>
      <w:i/>
      <w:iCs/>
      <w:color w:val="000000"/>
    </w:rPr>
  </w:style>
  <w:style w:type="paragraph" w:customStyle="1" w:styleId="ndice">
    <w:name w:val="Índice"/>
    <w:basedOn w:val="Normal"/>
    <w:qFormat/>
    <w:rsid w:val="009B654B"/>
    <w:pPr>
      <w:widowControl/>
      <w:suppressLineNumbers/>
      <w:spacing w:line="276" w:lineRule="auto"/>
      <w:ind w:left="-20" w:firstLine="720"/>
      <w:jc w:val="both"/>
    </w:pPr>
    <w:rPr>
      <w:rFonts w:ascii="Arial" w:eastAsia="Times New Roman" w:hAnsi="Arial" w:cs="Mangal"/>
      <w:color w:val="000000"/>
    </w:rPr>
  </w:style>
  <w:style w:type="paragraph" w:customStyle="1" w:styleId="Ttulo10">
    <w:name w:val="Título1"/>
    <w:basedOn w:val="Normal"/>
    <w:uiPriority w:val="10"/>
    <w:qFormat/>
    <w:rsid w:val="009B654B"/>
    <w:pPr>
      <w:keepNext/>
      <w:widowControl/>
      <w:spacing w:before="240" w:after="120" w:line="276" w:lineRule="auto"/>
      <w:ind w:left="-20" w:firstLine="720"/>
      <w:jc w:val="both"/>
    </w:pPr>
    <w:rPr>
      <w:rFonts w:ascii="Liberation Sans" w:eastAsia="Microsoft YaHei" w:hAnsi="Liberation Sans" w:cs="Mangal"/>
      <w:color w:val="000000"/>
      <w:sz w:val="28"/>
      <w:szCs w:val="28"/>
    </w:rPr>
  </w:style>
  <w:style w:type="paragraph" w:customStyle="1" w:styleId="Corpodotexto">
    <w:name w:val="Corpo do texto"/>
    <w:basedOn w:val="Normal"/>
    <w:qFormat/>
    <w:rsid w:val="009B654B"/>
    <w:pPr>
      <w:widowControl/>
      <w:spacing w:after="140" w:line="288" w:lineRule="auto"/>
      <w:ind w:left="-20" w:firstLine="720"/>
      <w:jc w:val="both"/>
    </w:pPr>
    <w:rPr>
      <w:rFonts w:ascii="Arial" w:eastAsia="Times New Roman" w:hAnsi="Arial" w:cs="Arial"/>
      <w:color w:val="000000"/>
    </w:rPr>
  </w:style>
  <w:style w:type="paragraph" w:styleId="Rodap">
    <w:name w:val="footer"/>
    <w:basedOn w:val="Normal"/>
    <w:link w:val="RodapChar"/>
    <w:uiPriority w:val="99"/>
    <w:unhideWhenUsed/>
    <w:rsid w:val="009B654B"/>
    <w:pPr>
      <w:widowControl/>
      <w:tabs>
        <w:tab w:val="center" w:pos="4252"/>
        <w:tab w:val="right" w:pos="8504"/>
      </w:tabs>
      <w:spacing w:line="276" w:lineRule="auto"/>
      <w:ind w:left="-20" w:firstLine="720"/>
      <w:jc w:val="both"/>
    </w:pPr>
    <w:rPr>
      <w:rFonts w:ascii="Arial" w:eastAsia="Times New Roman" w:hAnsi="Arial" w:cs="Arial"/>
      <w:color w:val="000000"/>
    </w:rPr>
  </w:style>
  <w:style w:type="paragraph" w:styleId="PargrafodaLista">
    <w:name w:val="List Paragraph"/>
    <w:basedOn w:val="Normal"/>
    <w:link w:val="PargrafodaListaChar"/>
    <w:qFormat/>
    <w:rsid w:val="009B654B"/>
    <w:pPr>
      <w:widowControl/>
      <w:spacing w:line="276" w:lineRule="auto"/>
      <w:ind w:left="708" w:firstLine="720"/>
      <w:jc w:val="both"/>
    </w:pPr>
    <w:rPr>
      <w:rFonts w:ascii="Arial" w:eastAsia="Times New Roman" w:hAnsi="Arial" w:cs="Arial"/>
      <w:color w:val="000000"/>
    </w:rPr>
  </w:style>
  <w:style w:type="paragraph" w:customStyle="1" w:styleId="Default">
    <w:name w:val="Default"/>
    <w:qFormat/>
    <w:rsid w:val="009B654B"/>
    <w:pPr>
      <w:suppressAutoHyphens/>
    </w:pPr>
    <w:rPr>
      <w:rFonts w:ascii="Times New Roman" w:hAnsi="Times New Roman"/>
      <w:color w:val="000000"/>
      <w:sz w:val="24"/>
      <w:szCs w:val="24"/>
    </w:rPr>
  </w:style>
  <w:style w:type="paragraph" w:customStyle="1" w:styleId="Pa5">
    <w:name w:val="Pa5"/>
    <w:basedOn w:val="Default"/>
    <w:next w:val="Default"/>
    <w:qFormat/>
    <w:rsid w:val="009B654B"/>
    <w:pPr>
      <w:spacing w:line="221" w:lineRule="atLeast"/>
    </w:pPr>
    <w:rPr>
      <w:color w:val="00000A"/>
    </w:rPr>
  </w:style>
  <w:style w:type="paragraph" w:styleId="SemEspaamento">
    <w:name w:val="No Spacing"/>
    <w:link w:val="SemEspaamentoChar"/>
    <w:uiPriority w:val="1"/>
    <w:qFormat/>
    <w:rsid w:val="009B654B"/>
    <w:pPr>
      <w:suppressAutoHyphens/>
    </w:pPr>
    <w:rPr>
      <w:rFonts w:ascii="Calibri" w:hAnsi="Calibri"/>
      <w:color w:val="00000A"/>
      <w:sz w:val="24"/>
      <w:lang w:eastAsia="en-US"/>
    </w:rPr>
  </w:style>
  <w:style w:type="paragraph" w:styleId="Cabealho">
    <w:name w:val="header"/>
    <w:basedOn w:val="Normal"/>
    <w:link w:val="CabealhoChar"/>
    <w:uiPriority w:val="99"/>
    <w:rsid w:val="009B654B"/>
    <w:pPr>
      <w:widowControl/>
      <w:tabs>
        <w:tab w:val="center" w:pos="4419"/>
        <w:tab w:val="right" w:pos="8838"/>
      </w:tabs>
    </w:pPr>
    <w:rPr>
      <w:rFonts w:ascii="Tahoma" w:hAnsi="Tahoma"/>
      <w:sz w:val="22"/>
      <w:szCs w:val="20"/>
    </w:rPr>
  </w:style>
  <w:style w:type="paragraph" w:styleId="Textodebalo">
    <w:name w:val="Balloon Text"/>
    <w:basedOn w:val="Normal"/>
    <w:link w:val="TextodebaloChar"/>
    <w:uiPriority w:val="99"/>
    <w:semiHidden/>
    <w:unhideWhenUsed/>
    <w:qFormat/>
    <w:rsid w:val="009B654B"/>
    <w:pPr>
      <w:widowControl/>
      <w:ind w:left="-20" w:firstLine="720"/>
      <w:jc w:val="both"/>
    </w:pPr>
    <w:rPr>
      <w:rFonts w:ascii="Tahoma" w:eastAsia="Times New Roman" w:hAnsi="Tahoma" w:cs="Tahoma"/>
      <w:color w:val="000000"/>
      <w:sz w:val="16"/>
      <w:szCs w:val="16"/>
    </w:rPr>
  </w:style>
  <w:style w:type="paragraph" w:styleId="Textodecomentrio">
    <w:name w:val="annotation text"/>
    <w:basedOn w:val="Normal"/>
    <w:link w:val="TextodecomentrioChar"/>
    <w:uiPriority w:val="99"/>
    <w:semiHidden/>
    <w:unhideWhenUsed/>
    <w:qFormat/>
    <w:rsid w:val="009B654B"/>
    <w:pPr>
      <w:widowControl/>
      <w:ind w:left="-20" w:firstLine="720"/>
      <w:jc w:val="both"/>
    </w:pPr>
    <w:rPr>
      <w:rFonts w:ascii="Arial" w:eastAsia="Times New Roman" w:hAnsi="Arial" w:cs="Arial"/>
      <w:color w:val="000000"/>
      <w:sz w:val="20"/>
      <w:szCs w:val="20"/>
    </w:rPr>
  </w:style>
  <w:style w:type="paragraph" w:styleId="Assuntodocomentrio">
    <w:name w:val="annotation subject"/>
    <w:basedOn w:val="Textodecomentrio"/>
    <w:link w:val="AssuntodocomentrioChar"/>
    <w:uiPriority w:val="99"/>
    <w:semiHidden/>
    <w:unhideWhenUsed/>
    <w:qFormat/>
    <w:rsid w:val="009B654B"/>
    <w:rPr>
      <w:b/>
      <w:bCs/>
    </w:rPr>
  </w:style>
  <w:style w:type="paragraph" w:styleId="Reviso">
    <w:name w:val="Revision"/>
    <w:uiPriority w:val="99"/>
    <w:semiHidden/>
    <w:qFormat/>
    <w:rsid w:val="009B654B"/>
    <w:pPr>
      <w:suppressAutoHyphens/>
    </w:pPr>
    <w:rPr>
      <w:rFonts w:ascii="Arial" w:eastAsia="Times New Roman" w:hAnsi="Arial" w:cs="Arial"/>
      <w:color w:val="000000"/>
      <w:sz w:val="24"/>
      <w:szCs w:val="24"/>
    </w:rPr>
  </w:style>
  <w:style w:type="paragraph" w:styleId="Textodenotaderodap">
    <w:name w:val="footnote text"/>
    <w:basedOn w:val="Normal"/>
  </w:style>
  <w:style w:type="paragraph" w:customStyle="1" w:styleId="Contedodatabela">
    <w:name w:val="Conteúdo da tabela"/>
    <w:basedOn w:val="Normal"/>
    <w:qFormat/>
    <w:rsid w:val="00453B05"/>
  </w:style>
  <w:style w:type="paragraph" w:customStyle="1" w:styleId="Ttulodetabela">
    <w:name w:val="Título de tabela"/>
    <w:basedOn w:val="Contedodatabela"/>
    <w:qFormat/>
    <w:rsid w:val="00453B05"/>
  </w:style>
  <w:style w:type="paragraph" w:customStyle="1" w:styleId="Padro">
    <w:name w:val="Padrão"/>
    <w:qFormat/>
    <w:rsid w:val="005867FE"/>
    <w:pPr>
      <w:suppressAutoHyphens/>
      <w:spacing w:line="200" w:lineRule="atLeast"/>
    </w:pPr>
    <w:rPr>
      <w:rFonts w:ascii="Mangal" w:eastAsia="Tahoma" w:hAnsi="Mangal" w:cs="Liberation Sans"/>
      <w:color w:val="000000"/>
      <w:sz w:val="36"/>
      <w:szCs w:val="24"/>
    </w:rPr>
  </w:style>
  <w:style w:type="paragraph" w:customStyle="1" w:styleId="Estilo3">
    <w:name w:val="Estilo3"/>
    <w:basedOn w:val="Ttulo3"/>
    <w:link w:val="Estilo3Char"/>
    <w:qFormat/>
    <w:rsid w:val="003826AB"/>
    <w:pPr>
      <w:spacing w:before="0"/>
    </w:pPr>
    <w:rPr>
      <w:rFonts w:ascii="Times New Roman" w:hAnsi="Times New Roman" w:cs="Times New Roman"/>
      <w:b/>
      <w:color w:val="00000A"/>
      <w:sz w:val="22"/>
      <w:szCs w:val="22"/>
    </w:rPr>
  </w:style>
  <w:style w:type="paragraph" w:customStyle="1" w:styleId="Estilo2">
    <w:name w:val="Estilo2"/>
    <w:basedOn w:val="Ttulo1"/>
    <w:link w:val="Estilo2Char"/>
    <w:qFormat/>
    <w:rsid w:val="003826AB"/>
    <w:rPr>
      <w:sz w:val="22"/>
      <w:szCs w:val="22"/>
    </w:rPr>
  </w:style>
  <w:style w:type="paragraph" w:customStyle="1" w:styleId="Estilo4">
    <w:name w:val="Estilo4"/>
    <w:basedOn w:val="Estilo2"/>
    <w:link w:val="Estilo4Char"/>
    <w:qFormat/>
    <w:rsid w:val="003826AB"/>
    <w:pPr>
      <w:outlineLvl w:val="1"/>
    </w:pPr>
  </w:style>
  <w:style w:type="paragraph" w:customStyle="1" w:styleId="Estilo20">
    <w:name w:val="Estilo 2"/>
    <w:basedOn w:val="Estilo2"/>
    <w:qFormat/>
    <w:rsid w:val="003826AB"/>
    <w:pPr>
      <w:jc w:val="both"/>
      <w:outlineLvl w:val="1"/>
    </w:pPr>
    <w:rPr>
      <w:b/>
    </w:rPr>
  </w:style>
  <w:style w:type="paragraph" w:customStyle="1" w:styleId="Estilo5">
    <w:name w:val="Estilo5"/>
    <w:basedOn w:val="Estilo4"/>
    <w:link w:val="Estilo5Char"/>
    <w:qFormat/>
    <w:rsid w:val="00AF4809"/>
  </w:style>
  <w:style w:type="paragraph" w:styleId="CabealhodoSumrio">
    <w:name w:val="TOC Heading"/>
    <w:basedOn w:val="Ttulo1"/>
    <w:next w:val="Normal"/>
    <w:uiPriority w:val="39"/>
    <w:unhideWhenUsed/>
    <w:qFormat/>
    <w:rsid w:val="00AF4809"/>
    <w:pPr>
      <w:keepNext/>
      <w:keepLines/>
      <w:widowControl/>
      <w:suppressAutoHyphens w:val="0"/>
      <w:spacing w:before="240" w:line="259" w:lineRule="auto"/>
    </w:pPr>
    <w:rPr>
      <w:rFonts w:asciiTheme="majorHAnsi" w:eastAsiaTheme="majorEastAsia" w:hAnsiTheme="majorHAnsi" w:cstheme="majorBidi"/>
      <w:color w:val="2E74B5" w:themeColor="accent1" w:themeShade="BF"/>
      <w:sz w:val="32"/>
      <w:szCs w:val="32"/>
    </w:rPr>
  </w:style>
  <w:style w:type="paragraph" w:styleId="Sumrio1">
    <w:name w:val="toc 1"/>
    <w:basedOn w:val="Normal"/>
    <w:next w:val="Normal"/>
    <w:autoRedefine/>
    <w:uiPriority w:val="39"/>
    <w:unhideWhenUsed/>
    <w:rsid w:val="00AF4809"/>
    <w:pPr>
      <w:spacing w:after="100"/>
    </w:pPr>
  </w:style>
  <w:style w:type="paragraph" w:styleId="Sumrio2">
    <w:name w:val="toc 2"/>
    <w:basedOn w:val="Normal"/>
    <w:next w:val="Normal"/>
    <w:autoRedefine/>
    <w:uiPriority w:val="39"/>
    <w:unhideWhenUsed/>
    <w:rsid w:val="00B279D9"/>
    <w:pPr>
      <w:tabs>
        <w:tab w:val="left" w:pos="567"/>
        <w:tab w:val="right" w:leader="dot" w:pos="8494"/>
      </w:tabs>
      <w:ind w:left="238"/>
      <w:jc w:val="both"/>
    </w:pPr>
  </w:style>
  <w:style w:type="paragraph" w:styleId="Sumrio3">
    <w:name w:val="toc 3"/>
    <w:basedOn w:val="Normal"/>
    <w:next w:val="Normal"/>
    <w:autoRedefine/>
    <w:uiPriority w:val="39"/>
    <w:unhideWhenUsed/>
    <w:rsid w:val="00B279D9"/>
    <w:pPr>
      <w:tabs>
        <w:tab w:val="right" w:leader="dot" w:pos="9736"/>
      </w:tabs>
      <w:spacing w:after="100"/>
      <w:jc w:val="both"/>
    </w:pPr>
    <w:rPr>
      <w:b/>
    </w:rPr>
  </w:style>
  <w:style w:type="paragraph" w:styleId="NormalWeb">
    <w:name w:val="Normal (Web)"/>
    <w:basedOn w:val="Normal"/>
    <w:uiPriority w:val="99"/>
    <w:unhideWhenUsed/>
    <w:qFormat/>
    <w:rsid w:val="00707036"/>
    <w:pPr>
      <w:widowControl/>
      <w:suppressAutoHyphens w:val="0"/>
      <w:spacing w:beforeAutospacing="1" w:afterAutospacing="1"/>
    </w:pPr>
    <w:rPr>
      <w:rFonts w:eastAsia="Times New Roman"/>
    </w:rPr>
  </w:style>
  <w:style w:type="paragraph" w:styleId="Textodenotadefim">
    <w:name w:val="endnote text"/>
    <w:basedOn w:val="Normal"/>
    <w:link w:val="TextodenotadefimChar"/>
    <w:uiPriority w:val="99"/>
    <w:semiHidden/>
    <w:unhideWhenUsed/>
    <w:qFormat/>
    <w:rsid w:val="004231E5"/>
    <w:rPr>
      <w:sz w:val="20"/>
      <w:szCs w:val="20"/>
    </w:rPr>
  </w:style>
  <w:style w:type="paragraph" w:customStyle="1" w:styleId="normal10">
    <w:name w:val="normal 10"/>
    <w:basedOn w:val="Normal"/>
    <w:qFormat/>
    <w:rsid w:val="00F125A9"/>
    <w:pPr>
      <w:jc w:val="both"/>
    </w:pPr>
    <w:rPr>
      <w:rFonts w:eastAsia="Times New Roman"/>
      <w:sz w:val="20"/>
      <w:szCs w:val="20"/>
    </w:rPr>
  </w:style>
  <w:style w:type="paragraph" w:styleId="ndicedeilustraes">
    <w:name w:val="table of figures"/>
    <w:basedOn w:val="Normal"/>
    <w:next w:val="Normal"/>
    <w:uiPriority w:val="99"/>
    <w:unhideWhenUsed/>
    <w:qFormat/>
    <w:rsid w:val="00857612"/>
  </w:style>
  <w:style w:type="paragraph" w:customStyle="1" w:styleId="ndicedefiguras1">
    <w:name w:val="Índice de figuras 1"/>
    <w:basedOn w:val="ndice"/>
    <w:qFormat/>
  </w:style>
  <w:style w:type="table" w:styleId="Tabelacomgrade">
    <w:name w:val="Table Grid"/>
    <w:basedOn w:val="Tabelanormal"/>
    <w:uiPriority w:val="59"/>
    <w:rsid w:val="009B654B"/>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header" Target="header2.xml"/><Relationship Id="rId26" Type="http://schemas.openxmlformats.org/officeDocument/2006/relationships/hyperlink" Target="http://lattes.cnpq.br/3918455553772163"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hyperlink" Target="http://lattes.cnpq.br/0546533044513924"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yperlink" Target="http://www.ifpa.edu.br/" TargetMode="External"/><Relationship Id="rId29" Type="http://schemas.openxmlformats.org/officeDocument/2006/relationships/hyperlink" Target="http://lattes.cnpq.br/18183092261877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lattes.cnpq.br/6935429698375570" TargetMode="External"/><Relationship Id="rId32" Type="http://schemas.openxmlformats.org/officeDocument/2006/relationships/hyperlink" Target="http://lattes.cnpq.br/3131317126051275" TargetMode="Externa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yperlink" Target="http://lattes.cnpq.br/7152029697370440" TargetMode="External"/><Relationship Id="rId28" Type="http://schemas.openxmlformats.org/officeDocument/2006/relationships/hyperlink" Target="http://lattes.cnpq.br/7577006494436444" TargetMode="Externa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yperlink" Target="http://lattes.cnpq.br/449441047911454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eader" Target="header5.xml"/><Relationship Id="rId27" Type="http://schemas.openxmlformats.org/officeDocument/2006/relationships/hyperlink" Target="http://lattes.cnpq.br/7494527417615299" TargetMode="External"/><Relationship Id="rId30" Type="http://schemas.openxmlformats.org/officeDocument/2006/relationships/hyperlink" Target="http://lattes.cnpq.br/8018086989387788" TargetMode="External"/><Relationship Id="rId35" Type="http://schemas.openxmlformats.org/officeDocument/2006/relationships/theme" Target="theme/theme1.xml"/><Relationship Id="rId8" Type="http://schemas.openxmlformats.org/officeDocument/2006/relationships/image" Target="media/image1.wmf"/></Relationships>
</file>

<file path=word/_rels/footnotes.xml.rels><?xml version="1.0" encoding="UTF-8" standalone="yes"?>
<Relationships xmlns="http://schemas.openxmlformats.org/package/2006/relationships"><Relationship Id="rId2" Type="http://schemas.openxmlformats.org/officeDocument/2006/relationships/hyperlink" Target="http://www.inf.ufsc.br/~vera.carmo/Ensino_2013_2/Instrumento_Coleta_Dados_Pesquisas_Educacionais.pdf" TargetMode="External"/><Relationship Id="rId1" Type="http://schemas.openxmlformats.org/officeDocument/2006/relationships/hyperlink" Target="https://www.ufpe.br/ctg/images/avaliacaoexterna.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F34F9-E215-48E3-AAE1-7B0051093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23871</Words>
  <Characters>128907</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Cardoso</dc:creator>
  <dc:description/>
  <cp:lastModifiedBy>TAE</cp:lastModifiedBy>
  <cp:revision>14</cp:revision>
  <cp:lastPrinted>2018-10-31T18:17:00Z</cp:lastPrinted>
  <dcterms:created xsi:type="dcterms:W3CDTF">2017-02-09T22:09:00Z</dcterms:created>
  <dcterms:modified xsi:type="dcterms:W3CDTF">2018-10-31T19:05:00Z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